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4D87F">
      <w:pP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附件：</w:t>
      </w:r>
    </w:p>
    <w:p w14:paraId="1107CCFF">
      <w:pPr>
        <w:jc w:val="center"/>
        <w:rPr>
          <w:rFonts w:hint="eastAsia" w:ascii="华文楷体" w:hAnsi="华文楷体" w:eastAsia="华文楷体"/>
          <w:b/>
          <w:w w:val="90"/>
          <w:sz w:val="56"/>
          <w:szCs w:val="56"/>
          <w:highlight w:val="none"/>
        </w:rPr>
      </w:pPr>
    </w:p>
    <w:p w14:paraId="7EA12BC8">
      <w:pPr>
        <w:jc w:val="center"/>
        <w:rPr>
          <w:rFonts w:ascii="华文楷体" w:hAnsi="华文楷体" w:eastAsia="华文楷体"/>
          <w:b/>
          <w:sz w:val="56"/>
          <w:szCs w:val="56"/>
          <w:highlight w:val="none"/>
        </w:rPr>
      </w:pPr>
      <w:r>
        <w:rPr>
          <w:rFonts w:hint="eastAsia" w:ascii="华文楷体" w:hAnsi="华文楷体" w:eastAsia="华文楷体"/>
          <w:b/>
          <w:w w:val="90"/>
          <w:sz w:val="56"/>
          <w:szCs w:val="56"/>
          <w:highlight w:val="none"/>
        </w:rPr>
        <w:t>202</w:t>
      </w:r>
      <w:r>
        <w:rPr>
          <w:rFonts w:hint="eastAsia" w:ascii="华文楷体" w:hAnsi="华文楷体" w:eastAsia="华文楷体"/>
          <w:b/>
          <w:w w:val="90"/>
          <w:sz w:val="56"/>
          <w:szCs w:val="56"/>
          <w:highlight w:val="none"/>
          <w:lang w:val="en-US" w:eastAsia="zh-CN"/>
        </w:rPr>
        <w:t>6（第九届）</w:t>
      </w:r>
      <w:r>
        <w:rPr>
          <w:rFonts w:hint="eastAsia" w:ascii="华文楷体" w:hAnsi="华文楷体" w:eastAsia="华文楷体"/>
          <w:b/>
          <w:w w:val="90"/>
          <w:sz w:val="56"/>
          <w:szCs w:val="56"/>
          <w:highlight w:val="none"/>
        </w:rPr>
        <w:t>中国</w:t>
      </w:r>
      <w:r>
        <w:rPr>
          <w:rFonts w:ascii="华文楷体" w:hAnsi="华文楷体" w:eastAsia="华文楷体"/>
          <w:b/>
          <w:w w:val="90"/>
          <w:sz w:val="56"/>
          <w:szCs w:val="56"/>
          <w:highlight w:val="none"/>
        </w:rPr>
        <w:t>企业</w:t>
      </w:r>
      <w:r>
        <w:rPr>
          <w:rFonts w:hint="eastAsia" w:ascii="华文楷体" w:hAnsi="华文楷体" w:eastAsia="华文楷体"/>
          <w:b/>
          <w:w w:val="90"/>
          <w:sz w:val="56"/>
          <w:szCs w:val="56"/>
          <w:highlight w:val="none"/>
        </w:rPr>
        <w:t>国际</w:t>
      </w:r>
      <w:r>
        <w:rPr>
          <w:rFonts w:ascii="华文楷体" w:hAnsi="华文楷体" w:eastAsia="华文楷体"/>
          <w:b/>
          <w:w w:val="90"/>
          <w:sz w:val="56"/>
          <w:szCs w:val="56"/>
          <w:highlight w:val="none"/>
        </w:rPr>
        <w:t>形象建设案例</w:t>
      </w:r>
      <w:r>
        <w:rPr>
          <w:rFonts w:hint="eastAsia" w:ascii="华文楷体" w:hAnsi="华文楷体" w:eastAsia="华文楷体"/>
          <w:b/>
          <w:sz w:val="56"/>
          <w:szCs w:val="56"/>
          <w:highlight w:val="none"/>
        </w:rPr>
        <w:t>征集活动</w:t>
      </w:r>
    </w:p>
    <w:p w14:paraId="02641874">
      <w:pPr>
        <w:jc w:val="center"/>
        <w:rPr>
          <w:rFonts w:ascii="华文楷体" w:hAnsi="华文楷体" w:eastAsia="华文楷体"/>
          <w:b/>
          <w:sz w:val="56"/>
          <w:szCs w:val="56"/>
          <w:highlight w:val="none"/>
        </w:rPr>
      </w:pPr>
    </w:p>
    <w:p w14:paraId="30B90BAE">
      <w:pPr>
        <w:jc w:val="center"/>
        <w:rPr>
          <w:rFonts w:ascii="仿宋" w:hAnsi="仿宋" w:eastAsia="仿宋"/>
          <w:b/>
          <w:sz w:val="52"/>
          <w:szCs w:val="52"/>
          <w:highlight w:val="none"/>
        </w:rPr>
      </w:pPr>
      <w:r>
        <w:rPr>
          <w:rFonts w:ascii="仿宋" w:hAnsi="仿宋" w:eastAsia="仿宋"/>
          <w:b/>
          <w:sz w:val="52"/>
          <w:szCs w:val="52"/>
          <w:highlight w:val="none"/>
        </w:rPr>
        <w:t>申报书</w:t>
      </w:r>
    </w:p>
    <w:p w14:paraId="29530801">
      <w:pPr>
        <w:rPr>
          <w:rFonts w:ascii="仿宋" w:hAnsi="仿宋" w:eastAsia="仿宋"/>
          <w:b/>
          <w:sz w:val="32"/>
          <w:szCs w:val="22"/>
          <w:highlight w:val="none"/>
        </w:rPr>
      </w:pPr>
    </w:p>
    <w:p w14:paraId="26EA909B">
      <w:pPr>
        <w:rPr>
          <w:rFonts w:ascii="仿宋" w:hAnsi="仿宋" w:eastAsia="仿宋"/>
          <w:b/>
          <w:sz w:val="32"/>
          <w:szCs w:val="22"/>
          <w:highlight w:val="none"/>
        </w:rPr>
      </w:pPr>
    </w:p>
    <w:p w14:paraId="69632CE0">
      <w:pPr>
        <w:rPr>
          <w:rFonts w:ascii="仿宋" w:hAnsi="仿宋" w:eastAsia="仿宋"/>
          <w:b/>
          <w:sz w:val="32"/>
          <w:szCs w:val="22"/>
          <w:highlight w:val="none"/>
        </w:rPr>
      </w:pPr>
    </w:p>
    <w:p w14:paraId="1250D4F0">
      <w:pPr>
        <w:rPr>
          <w:rFonts w:ascii="仿宋" w:hAnsi="仿宋" w:eastAsia="仿宋"/>
          <w:b/>
          <w:sz w:val="32"/>
          <w:szCs w:val="22"/>
          <w:highlight w:val="none"/>
        </w:rPr>
      </w:pPr>
    </w:p>
    <w:p w14:paraId="6A6C15DC">
      <w:pPr>
        <w:rPr>
          <w:rFonts w:ascii="仿宋" w:hAnsi="仿宋" w:eastAsia="仿宋"/>
          <w:b/>
          <w:sz w:val="32"/>
          <w:szCs w:val="22"/>
          <w:highlight w:val="none"/>
        </w:rPr>
      </w:pPr>
    </w:p>
    <w:p w14:paraId="53E3D00D">
      <w:pPr>
        <w:adjustRightInd w:val="0"/>
        <w:snapToGrid w:val="0"/>
        <w:spacing w:line="520" w:lineRule="exact"/>
        <w:jc w:val="center"/>
        <w:rPr>
          <w:rFonts w:ascii="仿宋" w:hAnsi="仿宋" w:eastAsia="仿宋"/>
          <w:b/>
          <w:sz w:val="32"/>
          <w:szCs w:val="22"/>
          <w:highlight w:val="none"/>
        </w:rPr>
      </w:pPr>
    </w:p>
    <w:p w14:paraId="2DB43625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指导单位</w:t>
      </w:r>
    </w:p>
    <w:p w14:paraId="7B807791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中国外文局</w:t>
      </w:r>
    </w:p>
    <w:p w14:paraId="22C8CEB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主办单位</w:t>
      </w:r>
    </w:p>
    <w:p w14:paraId="64583036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中国对外书刊出版发行中心</w:t>
      </w:r>
    </w:p>
    <w:p w14:paraId="0CB400BB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国务院国资委新闻中心</w:t>
      </w:r>
    </w:p>
    <w:p w14:paraId="780A12C8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全国工商联宣教部</w:t>
      </w:r>
    </w:p>
    <w:p w14:paraId="2E267B97">
      <w:pPr>
        <w:adjustRightInd w:val="0"/>
        <w:snapToGrid w:val="0"/>
        <w:spacing w:line="520" w:lineRule="exact"/>
        <w:jc w:val="center"/>
        <w:rPr>
          <w:rFonts w:ascii="仿宋" w:hAnsi="仿宋" w:eastAsia="仿宋"/>
          <w:b/>
          <w:sz w:val="32"/>
          <w:szCs w:val="22"/>
          <w:highlight w:val="none"/>
        </w:rPr>
      </w:pPr>
    </w:p>
    <w:p w14:paraId="45CD8D94">
      <w:pPr>
        <w:jc w:val="center"/>
        <w:rPr>
          <w:rFonts w:hint="eastAsia" w:ascii="仿宋" w:hAnsi="仿宋" w:eastAsia="仿宋"/>
          <w:b/>
          <w:sz w:val="32"/>
          <w:szCs w:val="22"/>
          <w:highlight w:val="none"/>
        </w:rPr>
      </w:pPr>
      <w:r>
        <w:rPr>
          <w:rFonts w:hint="eastAsia" w:ascii="仿宋" w:hAnsi="仿宋" w:eastAsia="仿宋"/>
          <w:b/>
          <w:sz w:val="32"/>
          <w:szCs w:val="22"/>
          <w:highlight w:val="none"/>
        </w:rPr>
        <w:t>202</w:t>
      </w:r>
      <w:r>
        <w:rPr>
          <w:rFonts w:hint="eastAsia" w:ascii="仿宋" w:hAnsi="仿宋" w:eastAsia="仿宋"/>
          <w:b/>
          <w:sz w:val="32"/>
          <w:szCs w:val="2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22"/>
          <w:highlight w:val="none"/>
        </w:rPr>
        <w:t>年</w:t>
      </w:r>
      <w:r>
        <w:rPr>
          <w:rFonts w:hint="eastAsia" w:ascii="仿宋" w:hAnsi="仿宋" w:eastAsia="仿宋"/>
          <w:b/>
          <w:sz w:val="32"/>
          <w:szCs w:val="22"/>
          <w:highlight w:val="none"/>
          <w:lang w:val="en-US" w:eastAsia="zh-CN"/>
        </w:rPr>
        <w:t>8</w:t>
      </w:r>
      <w:r>
        <w:rPr>
          <w:rFonts w:hint="eastAsia" w:ascii="仿宋" w:hAnsi="仿宋" w:eastAsia="仿宋"/>
          <w:b/>
          <w:sz w:val="32"/>
          <w:szCs w:val="22"/>
          <w:highlight w:val="none"/>
        </w:rPr>
        <w:t>月</w:t>
      </w:r>
    </w:p>
    <w:p w14:paraId="07C4065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为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>持续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贯彻习近平总书记关于国际传播工作的重要指示精神，系统梳理推广各行业企业国际化建设的鲜活实践，挖掘科技创新、合规经营、在地共生、品牌传播领域的典型样本，以真实企业故事搭建中外沟通桥梁，加快构建中国企业叙事体系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中国对外书刊出版发行中心联合国务院国资委新闻中心、全国工商联宣教部等单位，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"/>
        </w:rPr>
        <w:t>围绕</w:t>
      </w: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spacing w:val="7"/>
          <w:sz w:val="32"/>
          <w:szCs w:val="32"/>
          <w:highlight w:val="none"/>
          <w:lang w:eastAsia="zh-CN"/>
        </w:rPr>
        <w:t>新质驱动 融合共生</w:t>
      </w: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年度主题，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"/>
        </w:rPr>
        <w:t>紧扣高质量共建“一带一路”、发展新质生产力、高水平对外开放时代要求，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共同组织开展“2026（第九届）中国企业国际形象建设案例征集活动”，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>助力建设世界一流中国企业形象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7DBEE4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一、组织机构</w:t>
      </w:r>
    </w:p>
    <w:p w14:paraId="1B3515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jc w:val="both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（一）指导单位</w:t>
      </w:r>
    </w:p>
    <w:p w14:paraId="0BE749B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中国外文局</w:t>
      </w:r>
    </w:p>
    <w:p w14:paraId="00708310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（二）主办单位</w:t>
      </w:r>
    </w:p>
    <w:p w14:paraId="2143FB0A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中国对外书刊出版发行中心</w:t>
      </w:r>
    </w:p>
    <w:p w14:paraId="3B427E06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国务院国资委新闻中心</w:t>
      </w:r>
    </w:p>
    <w:p w14:paraId="2376B41F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全国工商联宣教部</w:t>
      </w:r>
    </w:p>
    <w:p w14:paraId="0A68D0F6">
      <w:pPr>
        <w:keepNext w:val="0"/>
        <w:keepLines w:val="0"/>
        <w:pageBreakBefore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（三）协办单位</w:t>
      </w:r>
    </w:p>
    <w:p w14:paraId="62DD32AC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国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公共关系协会</w:t>
      </w:r>
    </w:p>
    <w:p w14:paraId="7EB46CF1">
      <w:pPr>
        <w:ind w:left="598" w:leftChars="285" w:firstLine="0" w:firstLineChars="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中国中小企业国际合作协会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‌清华大学国家形象传播研究中心</w:t>
      </w:r>
    </w:p>
    <w:p w14:paraId="4BEBABAD">
      <w:pPr>
        <w:ind w:firstLine="640" w:firstLineChars="200"/>
        <w:jc w:val="both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西安交通大学新闻与新媒体学院</w:t>
      </w:r>
    </w:p>
    <w:p w14:paraId="027C7650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艾利艾智库</w:t>
      </w:r>
    </w:p>
    <w:p w14:paraId="6AF479A5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解读中国工作室</w:t>
      </w:r>
    </w:p>
    <w:p w14:paraId="71C0F282">
      <w:pPr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（四）支持单位</w:t>
      </w:r>
    </w:p>
    <w:p w14:paraId="18D0597C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人民日报社国际部</w:t>
      </w:r>
    </w:p>
    <w:p w14:paraId="32B0C992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中国网</w:t>
      </w:r>
    </w:p>
    <w:p w14:paraId="3EF6702A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中国外文局文化传播中心</w:t>
      </w:r>
    </w:p>
    <w:p w14:paraId="01272301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中国外文局煦方国际传媒</w:t>
      </w:r>
    </w:p>
    <w:p w14:paraId="0D94BAA7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企业观察报社</w:t>
      </w:r>
    </w:p>
    <w:p w14:paraId="3215261A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二、征集类别</w:t>
      </w:r>
    </w:p>
    <w:p w14:paraId="455399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本次活动将设置“图文”和“视频”两大征集类别，多角度、多形式挖掘企业国际化经营中的典型故事，展现中国企业国际形象建设优秀举措。</w:t>
      </w:r>
    </w:p>
    <w:p w14:paraId="548CC7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（一）图文单元</w:t>
      </w:r>
    </w:p>
    <w:p w14:paraId="768B09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1.跨文化沟通与海外品牌建设</w:t>
      </w:r>
    </w:p>
    <w:p w14:paraId="468C4C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重点征集企业在国际化发展过程中，面对不同文化背景和社会环境，通过跨文化沟通、本地化传播、品牌叙事、社会责任实践、利益相关方关系建设等方式，提升企业国际形象、增</w:t>
      </w:r>
      <w:r>
        <w:rPr>
          <w:rFonts w:hint="eastAsia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进</w:t>
      </w:r>
      <w:r>
        <w:rPr>
          <w:rFonts w:hint="default" w:ascii="Times New Roman" w:hAnsi="Times New Roman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海外公众认同、促进企业与当地社会融合发展的优秀案例。</w:t>
      </w:r>
    </w:p>
    <w:p w14:paraId="2DF0D9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2.数字赋能与科技驱动</w:t>
      </w:r>
    </w:p>
    <w:p w14:paraId="100CCC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重点征集企业以数字之力赢得国际信任、塑造负责任国际形象的实践案例。</w:t>
      </w:r>
      <w:r>
        <w:rPr>
          <w:rFonts w:hint="eastAsia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案例一方面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聚焦中国数字科技企业以技术出海、赢得国际认可的硬核标杆实践</w:t>
      </w:r>
      <w:r>
        <w:rPr>
          <w:rFonts w:hint="eastAsia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；另一方面，</w:t>
      </w:r>
      <w:r>
        <w:rPr>
          <w:rFonts w:hint="eastAsia" w:ascii="Times New Roman" w:hAnsi="Times New Roman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面向制造、能源、基建、金融、消费、农业、医药、文化等各行业中国企业，聚焦其运用数字化手段赋能海外经营、品牌传播与形象建设的融合创新实践。</w:t>
      </w:r>
    </w:p>
    <w:p w14:paraId="1810E5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绿色低碳与可持续发展</w:t>
      </w:r>
    </w:p>
    <w:p w14:paraId="577D1C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重点征集企业有效应对气候变化挑战，推动产业绿色低碳发展，助力全球能源安全与碳中和目标实现的生动实践；企业积极承担社会责任，保护当地生物多样性，推动资源高效利用，促进人与自然和谐共生的典型举措；企业优化公司治理结构，系统性提升ESG管理水平的积极探索。</w:t>
      </w:r>
    </w:p>
    <w:p w14:paraId="02031C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4.公共关系与舆论引导</w:t>
      </w:r>
    </w:p>
    <w:p w14:paraId="3BD3F6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重点征集中国企业面向东道国政府、属地社区、当地媒体、境外合作伙伴等多元主体开展公共关系实践的标杆案例，展现企业通过社会治理协同、应急风险防控、舆论信任构建等长效举措，在塑造良好形象、化解风险、凝聚共识、服务高质量发展方面取得的落地成效。</w:t>
      </w:r>
    </w:p>
    <w:p w14:paraId="23AE6139"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lang w:val="en-US" w:eastAsia="zh-CN" w:bidi="ar"/>
        </w:rPr>
        <w:t>5.专精特新与创新出海</w:t>
      </w:r>
    </w:p>
    <w:p w14:paraId="245F6E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重点征集专精特新企业及专精特新“小巨人”企业依托细分领域核心技术、专业创新能力与特色服务体系，突破海外市场壁垒，通过技术迭代、品质升级、标准输出深耕全球细分赛道，积极参与国际行业规则共建，塑造精良专业、创新进取的中国企业海外形象生动故事。</w:t>
      </w:r>
    </w:p>
    <w:p w14:paraId="2E2D3F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（二）视频单元</w:t>
      </w:r>
    </w:p>
    <w:p w14:paraId="30AF04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1.征集主题</w:t>
      </w:r>
    </w:p>
    <w:p w14:paraId="6D31F7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“光影出海·中国企业海外故事”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主题，征集反映中国企业海外形象的影像案例，旨在通过影像生动呈现中国企业在跨国经营中实现文化融合、发展共享、贡献民生的实践案例，凝聚共赴现代化之路的广泛共识，夯实和平发展、共同进步的民心基础。 </w:t>
      </w:r>
    </w:p>
    <w:p w14:paraId="78BC12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2.征集类型</w:t>
      </w:r>
    </w:p>
    <w:p w14:paraId="742FCB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包含但不限于短视频类、微视频类(微电影、微纪录片）、Vlog类、动画类、微短剧类、AIGC短视频、品牌形象视频、创意短视频、动画视频、音乐短视频等。语种：不限，包含非中文语种的作品，并配双语字幕，同时需提供有时间轴信息的双语(中/原语种）字幕文件。</w:t>
      </w:r>
    </w:p>
    <w:p w14:paraId="4BC161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bCs/>
          <w:color w:val="000000"/>
          <w:sz w:val="33"/>
          <w:szCs w:val="33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格式：MP4、MPG、MPEG、AVI、MOV、FLV等主流视频格式，分辨率1920*1080或以上，企业logo可在视频画面右上角呈现。</w:t>
      </w:r>
    </w:p>
    <w:p w14:paraId="3D2CCE8A">
      <w:pPr>
        <w:ind w:firstLine="643" w:firstLineChars="200"/>
        <w:jc w:val="both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三、创作要求</w:t>
      </w:r>
    </w:p>
    <w:p w14:paraId="4F2AB29E">
      <w:pPr>
        <w:ind w:firstLine="643" w:firstLineChars="200"/>
        <w:jc w:val="left"/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（一）图文单元</w:t>
      </w:r>
    </w:p>
    <w:p w14:paraId="07EA4A86">
      <w:pPr>
        <w:ind w:firstLine="643" w:firstLineChars="200"/>
        <w:jc w:val="left"/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1.导向正确：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案例应坚持以习近平新时代中国特色社会主义思想为指导，把握正确政治方向和价值导向；案例符合当前企业品牌传播和形象建设发展趋势的要求，为提升企业国际形象发挥积极作用。</w:t>
      </w:r>
    </w:p>
    <w:p w14:paraId="347B0715">
      <w:pPr>
        <w:ind w:firstLine="643" w:firstLineChars="200"/>
        <w:jc w:val="left"/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2.特色鲜明：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案例应具备国际化特质，积极开展跨文化交流，并在管理模式、品牌传播等关键领域实现本土化适配与国际化表达的有机融合；案例应深入展现所在领域的专业特色，形成具有行业借鉴意义的解决方案，为中国企业的未来发展提供可资借鉴的样本。</w:t>
      </w:r>
    </w:p>
    <w:p w14:paraId="469A9B3D">
      <w:pPr>
        <w:ind w:firstLine="643" w:firstLineChars="200"/>
        <w:jc w:val="left"/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3.注重效果：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案例应坚持社会效益与传播效果并重。社会效益方面：案例需对促进所在国经济发展、增加就业机会、改善民生福祉，践行ESG理念等方面具有积极作用；案例可注重体现“小而美”的精品项目实践成果，以点带面展现中国企业负责任形象；传播效果方面：案例应运用国际化传播载体讲好中国故事，有效提升国际社会对中国企业的认知度与认同感，形成具有广泛影响力的传播成果。</w:t>
      </w:r>
    </w:p>
    <w:p w14:paraId="70E4AB0B">
      <w:pPr>
        <w:ind w:firstLine="643" w:firstLineChars="200"/>
        <w:jc w:val="left"/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4.创新示范：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案例要围绕企业在国际经营过程中，在企业形象建设理念、方法或具体活动实施等方面有创新突破。案例具备成为持续开展延续性项目的潜力，具有示范带头作用，促进中国企业国际形象整体提升。</w:t>
      </w:r>
    </w:p>
    <w:p w14:paraId="1589F630">
      <w:pPr>
        <w:ind w:firstLine="643" w:firstLineChars="200"/>
        <w:jc w:val="left"/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（二）视频单元</w:t>
      </w:r>
    </w:p>
    <w:p w14:paraId="0DA1B2CC">
      <w:pPr>
        <w:ind w:firstLine="643" w:firstLineChars="200"/>
        <w:jc w:val="left"/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1.真实为魂，共情为桥。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坚持真实、共情的创作视角，倡导以真实人物、真实场景、真实事件为核心，让海外受众从“看得懂”到“信得过”，实现从信息接收到情感认同的转变。</w:t>
      </w:r>
    </w:p>
    <w:p w14:paraId="0A6A9F38">
      <w:pPr>
        <w:ind w:firstLine="643" w:firstLineChars="200"/>
        <w:jc w:val="left"/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2.微观切口，全球视野。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鼓励“以小见大”，提倡“当地人讲当地事、当事人讲亲历事”，善用属地视角与国际叙事语言，传递中国企业负责任、可持续、促发展的良好国际形象。</w:t>
      </w:r>
    </w:p>
    <w:p w14:paraId="394140A0">
      <w:pPr>
        <w:ind w:firstLine="643" w:firstLineChars="200"/>
        <w:jc w:val="left"/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3.制作精良，标准适配。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画面清晰、声音规范、剪辑流畅，具备国际传播的技术品相。建议时长：短视频1—10分钟，纪录片10—30分钟；分辨率不低于1080P（鼓励4K）；须配备中英文（或投放地语言）字幕，确保跨语言、跨平台的落地适配能力。</w:t>
      </w:r>
    </w:p>
    <w:p w14:paraId="546B19C2">
      <w:pPr>
        <w:ind w:firstLine="643" w:firstLineChars="200"/>
        <w:jc w:val="left"/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22"/>
          <w:highlight w:val="none"/>
          <w:lang w:val="en-US" w:eastAsia="zh-CN"/>
        </w:rPr>
        <w:t>4.延续赋能，长效示范。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具备成为持续性、系列化IP的潜力，视情推荐申报“新时代·新影像”中外联合创作计划，并</w:t>
      </w:r>
      <w:r>
        <w:rPr>
          <w:rFonts w:hint="eastAsia" w:ascii="仿宋" w:hAnsi="仿宋" w:eastAsia="仿宋"/>
          <w:bCs/>
          <w:sz w:val="32"/>
          <w:szCs w:val="22"/>
          <w:highlight w:val="none"/>
        </w:rPr>
        <w:t>依托</w:t>
      </w:r>
      <w:r>
        <w:rPr>
          <w:rFonts w:hint="eastAsia" w:ascii="仿宋" w:hAnsi="仿宋" w:eastAsia="仿宋"/>
          <w:bCs/>
          <w:sz w:val="32"/>
          <w:szCs w:val="22"/>
          <w:highlight w:val="none"/>
          <w:lang w:val="en-US" w:eastAsia="zh-CN"/>
        </w:rPr>
        <w:t>权威的</w:t>
      </w:r>
      <w:r>
        <w:rPr>
          <w:rFonts w:hint="eastAsia" w:ascii="仿宋" w:hAnsi="仿宋" w:eastAsia="仿宋"/>
          <w:bCs/>
          <w:sz w:val="32"/>
          <w:szCs w:val="22"/>
          <w:highlight w:val="none"/>
        </w:rPr>
        <w:t>国际影像传播渠道</w:t>
      </w:r>
      <w:r>
        <w:rPr>
          <w:rFonts w:hint="eastAsia" w:ascii="仿宋" w:hAnsi="仿宋" w:eastAsia="仿宋"/>
          <w:bCs/>
          <w:sz w:val="32"/>
          <w:szCs w:val="22"/>
          <w:highlight w:val="none"/>
          <w:lang w:val="en-US" w:eastAsia="zh-CN"/>
        </w:rPr>
        <w:t>平台进行展映展播</w:t>
      </w:r>
      <w:r>
        <w:rPr>
          <w:rFonts w:hint="eastAsia" w:ascii="仿宋" w:hAnsi="仿宋" w:eastAsia="仿宋"/>
          <w:bCs/>
          <w:sz w:val="32"/>
          <w:szCs w:val="22"/>
          <w:highlight w:val="none"/>
        </w:rPr>
        <w:t>，</w:t>
      </w:r>
      <w:r>
        <w:rPr>
          <w:rFonts w:hint="eastAsia" w:ascii="仿宋" w:hAnsi="仿宋" w:eastAsia="仿宋"/>
          <w:b w:val="0"/>
          <w:bCs/>
          <w:sz w:val="32"/>
          <w:szCs w:val="22"/>
          <w:highlight w:val="none"/>
          <w:lang w:val="en-US" w:eastAsia="zh-CN"/>
        </w:rPr>
        <w:t>实现从“案例征集”到“精品创作”再到“全球展映”的国际传播链条拓展和延伸。</w:t>
      </w:r>
    </w:p>
    <w:p w14:paraId="2F3B6EF4">
      <w:pPr>
        <w:ind w:firstLine="643" w:firstLineChars="200"/>
        <w:jc w:val="left"/>
        <w:rPr>
          <w:rFonts w:hint="default" w:ascii="仿宋" w:hAnsi="仿宋" w:eastAsia="仿宋"/>
          <w:b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22"/>
          <w:highlight w:val="none"/>
          <w:lang w:val="en-US" w:eastAsia="zh-CN"/>
        </w:rPr>
        <w:t>四、成果应用</w:t>
      </w:r>
    </w:p>
    <w:p w14:paraId="25129B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本次活动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遴选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产生的优秀图文、视频案例将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在中国企业全球形象高峰论坛上发布名单。同时，活动将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搭建多层级、跨领域、海内外联动的立体化成果传播矩阵，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依托各机构自有平台，全方位扩大活动影响力，系统提升中国企业国际传播工作实效。</w:t>
      </w:r>
    </w:p>
    <w:p w14:paraId="59A8AF8E">
      <w:pPr>
        <w:ind w:firstLine="643" w:firstLineChars="200"/>
        <w:jc w:val="both"/>
        <w:rPr>
          <w:rFonts w:hint="eastAsia" w:eastAsia="宋体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lang w:val="en-US" w:eastAsia="zh-CN" w:bidi="ar"/>
        </w:rPr>
        <w:t>1.官方主流传播：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依托中国外文局、国资委、全国工商联、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中国公共关系协会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、人民日报社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等权威传播平台、渠道，发布活动启动、征集进展、评审结果及年度成果，保障活动的权威声量。</w:t>
      </w:r>
    </w:p>
    <w:p w14:paraId="5E1AE9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lang w:val="en-US" w:eastAsia="zh-CN" w:bidi="ar"/>
        </w:rPr>
        <w:t>2.行业权威解读：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bidi="ar"/>
        </w:rPr>
        <w:t>依托中国公共关系协会、中国中小企业国际合作协会、清华大学国家形象传播研究中心、西安交通大学新闻与新媒体学院、艾利艾智库等单位的智库支撑、学术研究、大数据传播及舆情研判平台资源，通过搭建案例研究课题库、举办专题学术研讨等系统化工作机制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解读优秀案例的传播逻辑与品牌价值，提升活动的学术与行业高度。</w:t>
      </w:r>
    </w:p>
    <w:p w14:paraId="70E4E9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lang w:val="en-US" w:eastAsia="zh-CN" w:bidi="ar"/>
        </w:rPr>
        <w:t>3.高端平台展示：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 w:bidi="ar"/>
        </w:rPr>
        <w:t>将积极参与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“新时代·新影像”中外联合创作计划、中国联合展台、海丝国际纪录片大会等重要活动平台，开展优秀案例展示展映，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持续放大优秀案例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的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示范引领作用。</w:t>
      </w:r>
    </w:p>
    <w:p w14:paraId="7F04CF7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4.赋能精品打造：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针对遴选出的企业优秀案例，主办方还将联合知名高校智库、相关领域权威专家等策划组织培训、学术研讨，邀请企业代表参与，进一步孵化优秀作品，助力讲好企业故事、中国故事。</w:t>
      </w:r>
    </w:p>
    <w:p w14:paraId="507792D5">
      <w:pPr>
        <w:ind w:firstLine="643" w:firstLineChars="200"/>
        <w:jc w:val="left"/>
        <w:rPr>
          <w:rFonts w:hint="default" w:ascii="仿宋" w:hAnsi="仿宋" w:eastAsia="仿宋"/>
          <w:b/>
          <w:sz w:val="32"/>
          <w:szCs w:val="2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22"/>
          <w:highlight w:val="none"/>
          <w:lang w:val="en-US" w:eastAsia="zh-CN"/>
        </w:rPr>
        <w:t>五、申报方式</w:t>
      </w:r>
    </w:p>
    <w:p w14:paraId="69889A16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（一）申报时间</w:t>
      </w:r>
    </w:p>
    <w:p w14:paraId="65C18B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2026年8月17日至2026年9月21日</w:t>
      </w:r>
    </w:p>
    <w:p w14:paraId="7B932D46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（二）申报程序</w:t>
      </w:r>
    </w:p>
    <w:p w14:paraId="4F202B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1.按要求填写申报表，并于2026年9月21日17点前将相关材料发送至申报邮箱。</w:t>
      </w:r>
    </w:p>
    <w:p w14:paraId="101BAA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2.将申报材料分别以Word和PDF格式同案例详述及其他附件资料打包发送。申报视频类需将视频上传至百度网盘（网盘链接期限为“永久”），与申报表及其他材料一并发送至征集邮箱。</w:t>
      </w:r>
    </w:p>
    <w:p w14:paraId="4B326C1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（三）联系方式</w:t>
      </w:r>
    </w:p>
    <w:p w14:paraId="4DB1690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>申报邮箱：qiyeanlizj@163.com</w:t>
      </w:r>
    </w:p>
    <w:p w14:paraId="37C175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  <w:lang w:val="en-US" w:eastAsia="zh-CN"/>
        </w:rPr>
        <w:t xml:space="preserve">电话： 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010-68416592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王子晗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中国对外书刊出版发行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中心）</w:t>
      </w:r>
    </w:p>
    <w:p w14:paraId="2B1046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1490" w:firstLineChars="500"/>
        <w:jc w:val="left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010-63191222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王若婷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国务院国资委新闻中心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）</w:t>
      </w:r>
    </w:p>
    <w:p w14:paraId="5AE7C7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1490" w:firstLineChars="500"/>
        <w:jc w:val="left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010-58050885（周晓敏  全国工商联宣教部）</w:t>
      </w:r>
    </w:p>
    <w:p w14:paraId="38275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“公共关系与舆论引导”案例</w:t>
      </w:r>
    </w:p>
    <w:p w14:paraId="6239B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5"/>
        <w:jc w:val="both"/>
        <w:textAlignment w:val="auto"/>
        <w:outlineLvl w:val="9"/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val="en-US" w:eastAsia="zh-CN"/>
        </w:rPr>
        <w:t>申报邮箱：alzj@cpra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val="en-US" w:eastAsia="zh-CN"/>
        </w:rPr>
        <w:t>org</w:t>
      </w:r>
      <w:r>
        <w:rPr>
          <w:rFonts w:hint="default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val="en-US" w:eastAsia="zh-CN"/>
        </w:rPr>
        <w:t>.cn</w:t>
      </w:r>
    </w:p>
    <w:p w14:paraId="0BD6D5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val="en-US" w:eastAsia="zh-CN"/>
        </w:rPr>
        <w:t>电话：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010-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67655976</w:t>
      </w:r>
      <w:r>
        <w:rPr>
          <w:rFonts w:hint="eastAsia" w:ascii="Times New Roman Regular" w:hAnsi="Times New Roman Regular" w:eastAsia="仿宋_GB2312" w:cs="Times New Roman Regular"/>
          <w:bCs/>
          <w:color w:val="auto"/>
          <w:sz w:val="32"/>
          <w:szCs w:val="32"/>
          <w:highlight w:val="none"/>
          <w:lang w:val="en-US" w:eastAsia="zh-CN"/>
        </w:rPr>
        <w:t>（程春生 中国公共关系协会）</w:t>
      </w:r>
    </w:p>
    <w:p w14:paraId="26DEC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1490" w:firstLineChars="500"/>
        <w:jc w:val="left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</w:p>
    <w:p w14:paraId="5492E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  <w:highlight w:val="none"/>
          <w:lang w:val="en-US" w:eastAsia="zh-CN"/>
        </w:rPr>
        <w:t>（四）案例申报表（详见附表）</w:t>
      </w:r>
    </w:p>
    <w:p w14:paraId="57C75076">
      <w:pPr>
        <w:rPr>
          <w:highlight w:val="none"/>
        </w:rPr>
      </w:pPr>
    </w:p>
    <w:p w14:paraId="363BF7B6">
      <w:pPr>
        <w:rPr>
          <w:highlight w:val="none"/>
        </w:rPr>
      </w:pPr>
    </w:p>
    <w:p w14:paraId="75A35283">
      <w:pPr>
        <w:rPr>
          <w:highlight w:val="none"/>
        </w:rPr>
      </w:pPr>
    </w:p>
    <w:p w14:paraId="40792ADB">
      <w:pPr>
        <w:rPr>
          <w:highlight w:val="none"/>
        </w:rPr>
      </w:pPr>
    </w:p>
    <w:p w14:paraId="009E1A28">
      <w:pPr>
        <w:rPr>
          <w:highlight w:val="none"/>
        </w:rPr>
      </w:pPr>
    </w:p>
    <w:p w14:paraId="2C71949C">
      <w:pPr>
        <w:rPr>
          <w:highlight w:val="none"/>
        </w:rPr>
      </w:pPr>
    </w:p>
    <w:p w14:paraId="6345AC63">
      <w:pPr>
        <w:rPr>
          <w:highlight w:val="none"/>
        </w:rPr>
      </w:pPr>
    </w:p>
    <w:p w14:paraId="1F648B28">
      <w:pPr>
        <w:rPr>
          <w:highlight w:val="none"/>
        </w:rPr>
      </w:pPr>
    </w:p>
    <w:p w14:paraId="49907D84">
      <w:pPr>
        <w:rPr>
          <w:highlight w:val="none"/>
        </w:rPr>
      </w:pPr>
    </w:p>
    <w:p w14:paraId="0E717E44">
      <w:pPr>
        <w:rPr>
          <w:highlight w:val="none"/>
        </w:rPr>
      </w:pPr>
    </w:p>
    <w:p w14:paraId="13BEE53B">
      <w:pPr>
        <w:rPr>
          <w:highlight w:val="none"/>
        </w:rPr>
      </w:pPr>
    </w:p>
    <w:p w14:paraId="7D3E7A24">
      <w:pPr>
        <w:rPr>
          <w:highlight w:val="none"/>
        </w:rPr>
      </w:pPr>
    </w:p>
    <w:p w14:paraId="02C4E5CD">
      <w:pPr>
        <w:rPr>
          <w:highlight w:val="none"/>
        </w:rPr>
      </w:pPr>
    </w:p>
    <w:p w14:paraId="201E5B9A">
      <w:pPr>
        <w:rPr>
          <w:highlight w:val="none"/>
        </w:rPr>
      </w:pPr>
    </w:p>
    <w:p w14:paraId="05BB06E2">
      <w:pPr>
        <w:rPr>
          <w:highlight w:val="none"/>
        </w:rPr>
      </w:pPr>
    </w:p>
    <w:p w14:paraId="3D21D17B">
      <w:pPr>
        <w:rPr>
          <w:highlight w:val="none"/>
        </w:rPr>
      </w:pPr>
    </w:p>
    <w:p w14:paraId="4B12B88C">
      <w:pPr>
        <w:rPr>
          <w:highlight w:val="none"/>
        </w:rPr>
      </w:pPr>
    </w:p>
    <w:p w14:paraId="5AC3320A">
      <w:pPr>
        <w:rPr>
          <w:highlight w:val="none"/>
        </w:rPr>
      </w:pPr>
    </w:p>
    <w:p w14:paraId="0EFB3A45">
      <w:pPr>
        <w:rPr>
          <w:highlight w:val="none"/>
        </w:rPr>
      </w:pPr>
    </w:p>
    <w:p w14:paraId="69D5AD5C">
      <w:pPr>
        <w:rPr>
          <w:rFonts w:hint="eastAsia" w:ascii="黑体" w:hAnsi="黑体" w:eastAsia="黑体" w:cs="黑体"/>
          <w:bCs/>
          <w:sz w:val="32"/>
          <w:szCs w:val="32"/>
          <w:highlight w:val="none"/>
        </w:rPr>
      </w:pPr>
    </w:p>
    <w:p w14:paraId="0499C93F">
      <w:pPr>
        <w:rPr>
          <w:rFonts w:hint="eastAsia" w:ascii="Times New Roman" w:hAnsi="Times New Roman" w:eastAsia="华文中宋" w:cs="华文中宋"/>
          <w:b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附表：</w:t>
      </w:r>
    </w:p>
    <w:p w14:paraId="68BB13F7">
      <w:pPr>
        <w:widowControl/>
        <w:jc w:val="center"/>
        <w:rPr>
          <w:rFonts w:ascii="Times New Roman" w:hAnsi="Times New Roman" w:eastAsia="华文中宋" w:cs="华文中宋"/>
          <w:b/>
          <w:sz w:val="36"/>
          <w:szCs w:val="36"/>
          <w:highlight w:val="none"/>
        </w:rPr>
      </w:pPr>
      <w:r>
        <w:rPr>
          <w:rFonts w:hint="eastAsia" w:ascii="Times New Roman" w:hAnsi="Times New Roman" w:eastAsia="华文中宋" w:cs="华文中宋"/>
          <w:b/>
          <w:sz w:val="36"/>
          <w:szCs w:val="36"/>
          <w:highlight w:val="none"/>
        </w:rPr>
        <w:t>中国企业国际形象建设案例申报表</w:t>
      </w:r>
    </w:p>
    <w:tbl>
      <w:tblPr>
        <w:tblStyle w:val="4"/>
        <w:tblW w:w="9669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130"/>
        <w:gridCol w:w="2131"/>
        <w:gridCol w:w="3110"/>
      </w:tblGrid>
      <w:tr w14:paraId="3D563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98" w:type="dxa"/>
            <w:vAlign w:val="center"/>
          </w:tcPr>
          <w:p w14:paraId="657E9162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案例名称</w:t>
            </w:r>
          </w:p>
        </w:tc>
        <w:tc>
          <w:tcPr>
            <w:tcW w:w="7371" w:type="dxa"/>
            <w:gridSpan w:val="3"/>
            <w:vAlign w:val="center"/>
          </w:tcPr>
          <w:p w14:paraId="6B903BCC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478BA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98" w:type="dxa"/>
            <w:vAlign w:val="center"/>
          </w:tcPr>
          <w:p w14:paraId="6BCDFA03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申报单位</w:t>
            </w:r>
          </w:p>
        </w:tc>
        <w:tc>
          <w:tcPr>
            <w:tcW w:w="7371" w:type="dxa"/>
            <w:gridSpan w:val="3"/>
            <w:vAlign w:val="center"/>
          </w:tcPr>
          <w:p w14:paraId="4730E6C6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2C38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98" w:type="dxa"/>
            <w:vAlign w:val="center"/>
          </w:tcPr>
          <w:p w14:paraId="66B1DFFA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所属一级公司</w:t>
            </w:r>
          </w:p>
        </w:tc>
        <w:tc>
          <w:tcPr>
            <w:tcW w:w="7371" w:type="dxa"/>
            <w:gridSpan w:val="3"/>
            <w:vAlign w:val="center"/>
          </w:tcPr>
          <w:p w14:paraId="018A1106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3F73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98" w:type="dxa"/>
            <w:vAlign w:val="center"/>
          </w:tcPr>
          <w:p w14:paraId="3B847256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联 系 人</w:t>
            </w:r>
          </w:p>
        </w:tc>
        <w:tc>
          <w:tcPr>
            <w:tcW w:w="2130" w:type="dxa"/>
            <w:vAlign w:val="center"/>
          </w:tcPr>
          <w:p w14:paraId="6FF0AB58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  <w:tc>
          <w:tcPr>
            <w:tcW w:w="2131" w:type="dxa"/>
            <w:vAlign w:val="center"/>
          </w:tcPr>
          <w:p w14:paraId="6948C154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职    务</w:t>
            </w:r>
          </w:p>
        </w:tc>
        <w:tc>
          <w:tcPr>
            <w:tcW w:w="3110" w:type="dxa"/>
            <w:vAlign w:val="center"/>
          </w:tcPr>
          <w:p w14:paraId="4C86DADA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5745C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98" w:type="dxa"/>
            <w:vAlign w:val="center"/>
          </w:tcPr>
          <w:p w14:paraId="113EC1BF">
            <w:pPr>
              <w:tabs>
                <w:tab w:val="center" w:pos="1041"/>
              </w:tabs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联系地址</w:t>
            </w:r>
          </w:p>
        </w:tc>
        <w:tc>
          <w:tcPr>
            <w:tcW w:w="2130" w:type="dxa"/>
            <w:vAlign w:val="center"/>
          </w:tcPr>
          <w:p w14:paraId="1C32487D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  <w:tc>
          <w:tcPr>
            <w:tcW w:w="2131" w:type="dxa"/>
            <w:vAlign w:val="center"/>
          </w:tcPr>
          <w:p w14:paraId="4342A0FC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邮    箱</w:t>
            </w:r>
          </w:p>
        </w:tc>
        <w:tc>
          <w:tcPr>
            <w:tcW w:w="3110" w:type="dxa"/>
            <w:vAlign w:val="center"/>
          </w:tcPr>
          <w:p w14:paraId="2CAC77B8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10DB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98" w:type="dxa"/>
            <w:vAlign w:val="center"/>
          </w:tcPr>
          <w:p w14:paraId="7CDC1DE9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座机电话</w:t>
            </w:r>
          </w:p>
        </w:tc>
        <w:tc>
          <w:tcPr>
            <w:tcW w:w="7371" w:type="dxa"/>
            <w:gridSpan w:val="3"/>
            <w:vAlign w:val="center"/>
          </w:tcPr>
          <w:p w14:paraId="0CC76895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6D6D3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98" w:type="dxa"/>
            <w:vAlign w:val="center"/>
          </w:tcPr>
          <w:p w14:paraId="594585BA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手机电话</w:t>
            </w:r>
          </w:p>
        </w:tc>
        <w:tc>
          <w:tcPr>
            <w:tcW w:w="7371" w:type="dxa"/>
            <w:gridSpan w:val="3"/>
            <w:vAlign w:val="center"/>
          </w:tcPr>
          <w:p w14:paraId="453019A4">
            <w:pPr>
              <w:spacing w:line="360" w:lineRule="auto"/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652B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8" w:type="dxa"/>
            <w:vMerge w:val="restart"/>
            <w:vAlign w:val="center"/>
          </w:tcPr>
          <w:p w14:paraId="31D63234">
            <w:pPr>
              <w:rPr>
                <w:rFonts w:hint="eastAsia" w:ascii="Times New Roman" w:hAnsi="Times New Roman" w:eastAsia="宋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highlight w:val="none"/>
                <w:lang w:val="en-US" w:eastAsia="zh-CN"/>
              </w:rPr>
              <w:t>案例类别</w:t>
            </w:r>
          </w:p>
        </w:tc>
        <w:tc>
          <w:tcPr>
            <w:tcW w:w="7371" w:type="dxa"/>
            <w:gridSpan w:val="3"/>
            <w:vAlign w:val="center"/>
          </w:tcPr>
          <w:p w14:paraId="5A354C55">
            <w:pPr>
              <w:rPr>
                <w:rFonts w:hint="eastAsia" w:ascii="Times New Roman" w:hAnsi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highlight w:val="none"/>
                <w:lang w:val="en-US" w:eastAsia="zh-CN"/>
              </w:rPr>
              <w:t>图文单元：</w:t>
            </w:r>
          </w:p>
          <w:p w14:paraId="37ED0866">
            <w:pPr>
              <w:rPr>
                <w:rFonts w:hint="eastAsia"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跨文化沟通与海外品牌建设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 xml:space="preserve"> </w:t>
            </w:r>
          </w:p>
          <w:p w14:paraId="45C1FFFD">
            <w:pPr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数字赋能与科技驱动</w:t>
            </w:r>
          </w:p>
          <w:p w14:paraId="42CF8289">
            <w:pP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绿色低碳与可持续发展</w:t>
            </w:r>
          </w:p>
          <w:p w14:paraId="330852EE">
            <w:pP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公共关系与舆论引导</w:t>
            </w:r>
          </w:p>
          <w:p w14:paraId="7CA3F077">
            <w:pP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专精特新与创新出海</w:t>
            </w:r>
          </w:p>
        </w:tc>
      </w:tr>
      <w:tr w14:paraId="4AF5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98" w:type="dxa"/>
            <w:vMerge w:val="continue"/>
            <w:vAlign w:val="center"/>
          </w:tcPr>
          <w:p w14:paraId="45DAAB20">
            <w:pPr>
              <w:rPr>
                <w:rFonts w:hint="eastAsia" w:ascii="Times New Roman" w:hAnsi="Times New Roman" w:eastAsia="宋体" w:cs="Times New Roman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7929FCF4">
            <w:pPr>
              <w:rPr>
                <w:rFonts w:hint="eastAsia" w:ascii="Times New Roman" w:hAnsi="Times New Roman" w:eastAsia="宋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highlight w:val="none"/>
                <w:lang w:val="en-US" w:eastAsia="zh-CN"/>
              </w:rPr>
              <w:t>视频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highlight w:val="none"/>
                <w:lang w:val="en-US" w:eastAsia="zh-CN"/>
              </w:rPr>
              <w:t>单元</w:t>
            </w:r>
          </w:p>
        </w:tc>
      </w:tr>
      <w:tr w14:paraId="7B554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298" w:type="dxa"/>
            <w:vAlign w:val="center"/>
          </w:tcPr>
          <w:p w14:paraId="3E864EA4">
            <w:pPr>
              <w:spacing w:line="50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案例摘要</w:t>
            </w:r>
          </w:p>
          <w:p w14:paraId="1AB5B180">
            <w:pPr>
              <w:spacing w:line="50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（约3</w:t>
            </w:r>
            <w:r>
              <w:rPr>
                <w:rFonts w:ascii="Times New Roman" w:hAnsi="Times New Roman"/>
                <w:b/>
                <w:sz w:val="24"/>
                <w:highlight w:val="none"/>
              </w:rPr>
              <w:t>00</w:t>
            </w: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字）</w:t>
            </w:r>
          </w:p>
        </w:tc>
        <w:tc>
          <w:tcPr>
            <w:tcW w:w="7371" w:type="dxa"/>
            <w:gridSpan w:val="3"/>
            <w:vAlign w:val="center"/>
          </w:tcPr>
          <w:p w14:paraId="0DC7750B">
            <w:pPr>
              <w:ind w:right="844"/>
              <w:rPr>
                <w:rFonts w:hint="eastAsia" w:ascii="Times New Roman" w:hAnsi="Times New Roman" w:eastAsia="宋体"/>
                <w:b/>
                <w:sz w:val="24"/>
                <w:highlight w:val="none"/>
                <w:lang w:eastAsia="zh-CN"/>
              </w:rPr>
            </w:pPr>
          </w:p>
        </w:tc>
      </w:tr>
      <w:tr w14:paraId="50A4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98" w:type="dxa"/>
            <w:vAlign w:val="center"/>
          </w:tcPr>
          <w:p w14:paraId="748153CC">
            <w:pPr>
              <w:spacing w:line="50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视频链接及提取码</w:t>
            </w:r>
          </w:p>
          <w:p w14:paraId="27FD6B07">
            <w:pPr>
              <w:spacing w:line="50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Cs/>
                <w:sz w:val="24"/>
                <w:highlight w:val="none"/>
              </w:rPr>
              <w:t>（请上传百度网盘）</w:t>
            </w:r>
          </w:p>
        </w:tc>
        <w:tc>
          <w:tcPr>
            <w:tcW w:w="7371" w:type="dxa"/>
            <w:gridSpan w:val="3"/>
            <w:vAlign w:val="center"/>
          </w:tcPr>
          <w:p w14:paraId="6D03376A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3C06B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298" w:type="dxa"/>
            <w:vAlign w:val="center"/>
          </w:tcPr>
          <w:p w14:paraId="2B52C365">
            <w:pPr>
              <w:spacing w:line="50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案例详述</w:t>
            </w:r>
          </w:p>
          <w:p w14:paraId="3023DFFA">
            <w:pPr>
              <w:spacing w:line="50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（不超过5000字，不低于3000字）</w:t>
            </w:r>
          </w:p>
        </w:tc>
        <w:tc>
          <w:tcPr>
            <w:tcW w:w="7371" w:type="dxa"/>
            <w:gridSpan w:val="3"/>
            <w:vAlign w:val="center"/>
          </w:tcPr>
          <w:p w14:paraId="1FF30E93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453B9FAC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（word</w:t>
            </w:r>
            <w:r>
              <w:rPr>
                <w:rFonts w:hint="eastAsia" w:ascii="Times New Roman" w:hAnsi="Times New Roman"/>
                <w:b/>
                <w:sz w:val="24"/>
                <w:highlight w:val="none"/>
                <w:lang w:val="en-US" w:eastAsia="zh-CN"/>
              </w:rPr>
              <w:t>版本</w:t>
            </w: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材料</w:t>
            </w:r>
            <w:r>
              <w:rPr>
                <w:rFonts w:hint="eastAsia" w:ascii="Times New Roman" w:hAnsi="Times New Roman"/>
                <w:b/>
                <w:sz w:val="24"/>
                <w:highlight w:val="none"/>
                <w:lang w:val="en-US" w:eastAsia="zh-CN"/>
              </w:rPr>
              <w:t>格式建议统一为：标题小标宋简体20号，正文仿宋三号，段落固定值29磅行距</w:t>
            </w: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）</w:t>
            </w:r>
          </w:p>
          <w:p w14:paraId="6DBCA334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</w:tc>
      </w:tr>
      <w:tr w14:paraId="281F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</w:trPr>
        <w:tc>
          <w:tcPr>
            <w:tcW w:w="2298" w:type="dxa"/>
            <w:vAlign w:val="center"/>
          </w:tcPr>
          <w:p w14:paraId="23E60359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单位意见</w:t>
            </w:r>
          </w:p>
        </w:tc>
        <w:tc>
          <w:tcPr>
            <w:tcW w:w="7371" w:type="dxa"/>
            <w:gridSpan w:val="3"/>
            <w:vAlign w:val="center"/>
          </w:tcPr>
          <w:p w14:paraId="352D4DBB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5F35418D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1783BB5F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1C5F48F3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5EB85913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182C88C6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3287502E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6B1DDAB5">
            <w:pPr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 xml:space="preserve">  </w:t>
            </w:r>
          </w:p>
          <w:p w14:paraId="17A58B62">
            <w:pPr>
              <w:wordWrap w:val="0"/>
              <w:jc w:val="right"/>
              <w:rPr>
                <w:rFonts w:hint="eastAsia"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 xml:space="preserve">单位（公章）：         </w:t>
            </w:r>
          </w:p>
          <w:p w14:paraId="57BDC277">
            <w:pPr>
              <w:ind w:firstLine="4216" w:firstLineChars="1750"/>
              <w:jc w:val="right"/>
              <w:rPr>
                <w:rFonts w:ascii="Times New Roman" w:hAnsi="Times New Roman"/>
                <w:b/>
                <w:sz w:val="24"/>
                <w:highlight w:val="none"/>
              </w:rPr>
            </w:pPr>
          </w:p>
          <w:p w14:paraId="00C22B33">
            <w:pPr>
              <w:wordWrap w:val="0"/>
              <w:jc w:val="righ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 xml:space="preserve">时间：年  月  日        </w:t>
            </w:r>
          </w:p>
        </w:tc>
      </w:tr>
      <w:tr w14:paraId="6B82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9" w:type="dxa"/>
            <w:gridSpan w:val="4"/>
            <w:vAlign w:val="center"/>
          </w:tcPr>
          <w:p w14:paraId="2FE55017">
            <w:pPr>
              <w:spacing w:line="36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案例申报基本原则：</w:t>
            </w:r>
          </w:p>
          <w:p w14:paraId="188582F8">
            <w:pPr>
              <w:pStyle w:val="7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案例原则上发生于202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17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日至20</w:t>
            </w:r>
            <w:r>
              <w:rPr>
                <w:rFonts w:ascii="Times New Roman" w:hAnsi="Times New Roman"/>
                <w:sz w:val="24"/>
                <w:highlight w:val="none"/>
              </w:rPr>
              <w:t>2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日期间。</w:t>
            </w:r>
          </w:p>
          <w:p w14:paraId="17A5E869">
            <w:pPr>
              <w:pStyle w:val="7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相同案例内容不能申报两个或两个以上类别。</w:t>
            </w:r>
          </w:p>
        </w:tc>
      </w:tr>
      <w:tr w14:paraId="3B0E9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</w:trPr>
        <w:tc>
          <w:tcPr>
            <w:tcW w:w="9669" w:type="dxa"/>
            <w:gridSpan w:val="4"/>
            <w:vAlign w:val="center"/>
          </w:tcPr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93"/>
              <w:gridCol w:w="8065"/>
            </w:tblGrid>
            <w:tr w14:paraId="5DF76093">
              <w:tblPrEx>
                <w:tblBorders>
                  <w:top w:val="single" w:color="auto" w:sz="4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7" w:hRule="atLeast"/>
              </w:trPr>
              <w:tc>
                <w:tcPr>
                  <w:tcW w:w="1493" w:type="dxa"/>
                  <w:shd w:val="clear" w:color="auto" w:fill="F2DBDB"/>
                  <w:vAlign w:val="center"/>
                </w:tcPr>
                <w:p w14:paraId="19873B50">
                  <w:pPr>
                    <w:spacing w:line="360" w:lineRule="exact"/>
                    <w:rPr>
                      <w:rFonts w:hint="eastAsia" w:ascii="Times New Roman" w:hAnsi="Times New Roman" w:eastAsia="宋体"/>
                      <w:b/>
                      <w:sz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  <w:highlight w:val="none"/>
                    </w:rPr>
                    <w:t>案例</w:t>
                  </w:r>
                  <w:r>
                    <w:rPr>
                      <w:rFonts w:hint="eastAsia" w:ascii="Times New Roman" w:hAnsi="Times New Roman"/>
                      <w:b/>
                      <w:sz w:val="24"/>
                      <w:highlight w:val="none"/>
                      <w:lang w:val="en-US" w:eastAsia="zh-CN"/>
                    </w:rPr>
                    <w:t>指引</w:t>
                  </w:r>
                </w:p>
              </w:tc>
              <w:tc>
                <w:tcPr>
                  <w:tcW w:w="8065" w:type="dxa"/>
                  <w:shd w:val="clear" w:color="auto" w:fill="F2DBDB"/>
                  <w:vAlign w:val="center"/>
                </w:tcPr>
                <w:p w14:paraId="57CE6EDD">
                  <w:pPr>
                    <w:spacing w:line="360" w:lineRule="exact"/>
                    <w:rPr>
                      <w:rFonts w:ascii="Times New Roman" w:hAnsi="Times New Roman"/>
                      <w:b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b/>
                      <w:sz w:val="24"/>
                      <w:highlight w:val="none"/>
                    </w:rPr>
                    <w:t>案例内容描述方向</w:t>
                  </w:r>
                </w:p>
              </w:tc>
            </w:tr>
            <w:tr w14:paraId="67B5FA40">
              <w:tblPrEx>
                <w:tblBorders>
                  <w:top w:val="single" w:color="auto" w:sz="4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4" w:hRule="atLeast"/>
              </w:trPr>
              <w:tc>
                <w:tcPr>
                  <w:tcW w:w="1493" w:type="dxa"/>
                  <w:shd w:val="clear" w:color="auto" w:fill="FFFFFF"/>
                  <w:vAlign w:val="center"/>
                </w:tcPr>
                <w:p w14:paraId="01DAA8DE">
                  <w:pPr>
                    <w:spacing w:line="360" w:lineRule="exact"/>
                    <w:rPr>
                      <w:rFonts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摘要</w:t>
                  </w:r>
                </w:p>
              </w:tc>
              <w:tc>
                <w:tcPr>
                  <w:tcW w:w="8065" w:type="dxa"/>
                  <w:vAlign w:val="center"/>
                </w:tcPr>
                <w:p w14:paraId="67D8BCF6">
                  <w:pPr>
                    <w:numPr>
                      <w:ilvl w:val="0"/>
                      <w:numId w:val="0"/>
                    </w:numPr>
                    <w:spacing w:line="360" w:lineRule="exact"/>
                    <w:ind w:leftChars="0"/>
                    <w:rPr>
                      <w:rFonts w:hint="eastAsia" w:ascii="Times New Roman" w:hAnsi="Times New Roman" w:eastAsia="宋体"/>
                      <w:sz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eastAsia="zh-CN"/>
                    </w:rPr>
                    <w:t>凝练概述企业海外形象建设的完整实践路径，清晰点明核心举措、创新亮点与核心价值，控制在300字左右。</w:t>
                  </w:r>
                </w:p>
              </w:tc>
            </w:tr>
            <w:tr w14:paraId="5623DA13">
              <w:tblPrEx>
                <w:tblBorders>
                  <w:top w:val="single" w:color="auto" w:sz="4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3" w:hRule="atLeast"/>
              </w:trPr>
              <w:tc>
                <w:tcPr>
                  <w:tcW w:w="1493" w:type="dxa"/>
                  <w:shd w:val="clear" w:color="auto" w:fill="FFFFFF"/>
                  <w:vAlign w:val="center"/>
                </w:tcPr>
                <w:p w14:paraId="5400C329">
                  <w:pPr>
                    <w:spacing w:line="360" w:lineRule="exact"/>
                    <w:rPr>
                      <w:rFonts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关键词</w:t>
                  </w:r>
                </w:p>
              </w:tc>
              <w:tc>
                <w:tcPr>
                  <w:tcW w:w="8065" w:type="dxa"/>
                  <w:vAlign w:val="center"/>
                </w:tcPr>
                <w:p w14:paraId="66A32F25">
                  <w:pPr>
                    <w:numPr>
                      <w:ilvl w:val="0"/>
                      <w:numId w:val="0"/>
                    </w:numPr>
                    <w:spacing w:line="360" w:lineRule="exact"/>
                    <w:ind w:leftChars="0"/>
                    <w:rPr>
                      <w:rFonts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提炼3-6个高度贴合案例主题、行业属性、出海模式、传播路径的核心词汇，便于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后续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案例分类检索与研究。</w:t>
                  </w:r>
                </w:p>
              </w:tc>
            </w:tr>
            <w:tr w14:paraId="1328C9C4">
              <w:tblPrEx>
                <w:tblBorders>
                  <w:top w:val="single" w:color="auto" w:sz="4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93" w:type="dxa"/>
                  <w:shd w:val="clear" w:color="auto" w:fill="FFFFFF"/>
                  <w:vAlign w:val="center"/>
                </w:tcPr>
                <w:p w14:paraId="6D1A731C">
                  <w:pPr>
                    <w:spacing w:line="360" w:lineRule="exact"/>
                    <w:rPr>
                      <w:rFonts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案例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背景</w:t>
                  </w:r>
                </w:p>
              </w:tc>
              <w:tc>
                <w:tcPr>
                  <w:tcW w:w="8065" w:type="dxa"/>
                </w:tcPr>
                <w:p w14:paraId="401416E2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  <w:lang w:val="en-US" w:eastAsia="zh-CN"/>
                    </w:rPr>
                    <w:t>1.宏观时代政策：锚定高质量共建 “一带一路”、高水平对外开放、新质生产力出海、国家国际传播能力建设等国家战略部署，阐明企业开展国际形象塑造的时代使命与政策支撑；</w:t>
                  </w:r>
                </w:p>
                <w:p w14:paraId="37829BD5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</w:rPr>
                  </w:pPr>
                  <w:r>
                    <w:rPr>
                      <w:rStyle w:val="6"/>
                      <w:rFonts w:hint="eastAsia" w:ascii="宋体" w:hAnsi="宋体" w:eastAsia="宋体" w:cs="宋体"/>
                      <w:b w:val="0"/>
                      <w:bCs w:val="0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  <w:t>2.</w:t>
                  </w:r>
                  <w:r>
                    <w:rPr>
                      <w:rStyle w:val="6"/>
                      <w:rFonts w:ascii="宋体" w:hAnsi="宋体" w:eastAsia="宋体" w:cs="宋体"/>
                      <w:b w:val="0"/>
                      <w:bCs w:val="0"/>
                      <w:color w:val="000000"/>
                      <w:sz w:val="24"/>
                      <w:szCs w:val="24"/>
                      <w:highlight w:val="none"/>
                    </w:rPr>
                    <w:t>企业战略定位</w:t>
                  </w:r>
                  <w:r>
                    <w:rPr>
                      <w:rFonts w:ascii="宋体" w:hAnsi="宋体" w:eastAsia="宋体" w:cs="宋体"/>
                      <w:b w:val="0"/>
                      <w:bCs w:val="0"/>
                      <w:sz w:val="24"/>
                      <w:szCs w:val="24"/>
                      <w:highlight w:val="none"/>
                    </w:rPr>
                    <w:t>：</w:t>
                  </w: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</w:rPr>
                    <w:t>说明企业中长期国际化布局、海外市场深耕规划、全球产业发展目标、自身海外业务差异化定位；</w:t>
                  </w:r>
                </w:p>
                <w:p w14:paraId="4B16B6B5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eastAsia"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  <w:lang w:val="en-US" w:eastAsia="zh-CN"/>
                    </w:rPr>
                    <w:t>3.</w:t>
                  </w:r>
                  <w:r>
                    <w:rPr>
                      <w:rStyle w:val="6"/>
                      <w:rFonts w:ascii="宋体" w:hAnsi="宋体" w:eastAsia="宋体" w:cs="宋体"/>
                      <w:b w:val="0"/>
                      <w:bCs w:val="0"/>
                      <w:color w:val="000000"/>
                      <w:sz w:val="24"/>
                      <w:szCs w:val="24"/>
                      <w:highlight w:val="none"/>
                    </w:rPr>
                    <w:t>现实瓶颈痛点</w:t>
                  </w:r>
                  <w:r>
                    <w:rPr>
                      <w:rFonts w:ascii="宋体" w:hAnsi="宋体" w:eastAsia="宋体" w:cs="宋体"/>
                      <w:b w:val="0"/>
                      <w:bCs w:val="0"/>
                      <w:sz w:val="24"/>
                      <w:szCs w:val="24"/>
                      <w:highlight w:val="none"/>
                    </w:rPr>
                    <w:t>：</w:t>
                  </w: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</w:rPr>
                    <w:t>企业海外经营</w:t>
                  </w: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  <w:lang w:val="en-US" w:eastAsia="zh-CN"/>
                    </w:rPr>
                    <w:t>及国际形象建设</w:t>
                  </w: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</w:rPr>
                    <w:t>过程中遇到的</w:t>
                  </w: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  <w:lang w:val="en-US" w:eastAsia="zh-CN"/>
                    </w:rPr>
                    <w:t>如</w:t>
                  </w:r>
                  <w:r>
                    <w:rPr>
                      <w:rFonts w:ascii="宋体" w:hAnsi="宋体" w:eastAsia="宋体" w:cs="宋体"/>
                      <w:b w:val="0"/>
                      <w:bCs w:val="0"/>
                      <w:sz w:val="24"/>
                      <w:szCs w:val="24"/>
                      <w:highlight w:val="none"/>
                    </w:rPr>
                    <w:t>传播壁垒、属地文化隔阂、海外舆情维稳压力、国际叙事乏力、媒体/智库资源不足、合规规则适配难、大众品牌认知薄弱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szCs w:val="24"/>
                      <w:highlight w:val="none"/>
                      <w:lang w:val="en-US" w:eastAsia="zh-CN"/>
                    </w:rPr>
                    <w:t>等</w:t>
                  </w: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</w:rPr>
                    <w:t>各类现实瓶颈</w:t>
                  </w: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  <w:lang w:eastAsia="zh-CN"/>
                    </w:rPr>
                    <w:t>。</w:t>
                  </w:r>
                </w:p>
              </w:tc>
            </w:tr>
            <w:tr w14:paraId="657187FB">
              <w:tblPrEx>
                <w:tblBorders>
                  <w:top w:val="single" w:color="auto" w:sz="4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93" w:type="dxa"/>
                  <w:shd w:val="clear" w:color="auto" w:fill="FFFFFF"/>
                  <w:vAlign w:val="center"/>
                </w:tcPr>
                <w:p w14:paraId="34762258">
                  <w:pPr>
                    <w:spacing w:line="360" w:lineRule="exact"/>
                    <w:rPr>
                      <w:rFonts w:hint="default" w:ascii="Times New Roman" w:hAnsi="Times New Roman" w:eastAsia="宋体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内容撰写</w:t>
                  </w:r>
                </w:p>
              </w:tc>
              <w:tc>
                <w:tcPr>
                  <w:tcW w:w="8065" w:type="dxa"/>
                  <w:vAlign w:val="center"/>
                </w:tcPr>
                <w:p w14:paraId="672BFE14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eastAsia" w:ascii="Times New Roman" w:hAnsi="Times New Roman"/>
                      <w:b w:val="0"/>
                      <w:bCs w:val="0"/>
                      <w:sz w:val="24"/>
                      <w:highlight w:val="none"/>
                    </w:rPr>
                    <w:t>针对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企业工作实际及出海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痛点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eastAsia="zh-CN"/>
                    </w:rPr>
                    <w:t>，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明确国际形象建设顶层设计、核心实施目标、差异化破局路径，体现企业主动开展国际化品牌建设的内生需求。</w:t>
                  </w:r>
                </w:p>
                <w:p w14:paraId="7632C0FF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2.案例需系统梳理企业国际形象建设在落地推进、创新做法、执行流程、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highlight w:val="none"/>
                      <w:lang w:val="en-US" w:eastAsia="zh-CN"/>
                    </w:rPr>
                    <w:t>外部多方协同等维度的实践举措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，保证内容条理清晰；</w:t>
                  </w:r>
                </w:p>
                <w:p w14:paraId="612BCE14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eastAsia" w:eastAsia="宋体"/>
                      <w:highlight w:val="none"/>
                      <w:lang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3.案例全部内容需立足真实经营事实与落地场景，以可核验的案例细节支撑叙事，形成完整故事脉络；</w:t>
                  </w:r>
                </w:p>
                <w:p w14:paraId="38B6F389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default" w:ascii="Times New Roman" w:hAnsi="Times New Roman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4.案例内容需体现实操性与可复制性，具备后续系列传播条件，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highlight w:val="none"/>
                      <w:lang w:val="en-US" w:eastAsia="zh-CN"/>
                    </w:rPr>
                    <w:t>可为其他企业提供参考借鉴。</w:t>
                  </w:r>
                </w:p>
              </w:tc>
            </w:tr>
            <w:tr w14:paraId="22CEC88B">
              <w:tblPrEx>
                <w:tblBorders>
                  <w:top w:val="single" w:color="auto" w:sz="4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93" w:type="dxa"/>
                  <w:shd w:val="clear" w:color="auto" w:fill="FFFFFF"/>
                  <w:vAlign w:val="center"/>
                </w:tcPr>
                <w:p w14:paraId="1C0B22F0">
                  <w:pPr>
                    <w:spacing w:line="360" w:lineRule="exact"/>
                    <w:rPr>
                      <w:rFonts w:hint="eastAsia"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叙事视角</w:t>
                  </w:r>
                </w:p>
              </w:tc>
              <w:tc>
                <w:tcPr>
                  <w:tcW w:w="8065" w:type="dxa"/>
                  <w:vAlign w:val="center"/>
                </w:tcPr>
                <w:p w14:paraId="69AF0FA7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1.叙事视角转型：摒弃传统内宣单向汇报口吻，采用中外平等对话的国际化叙事视角；减少自上而下政策表述，鼓励以属地社区、普通民众、当地员工、海外合作方微观实景故事为载体，用民生细节增强海外受众共情力，实现硬核业务成果与软性人文故事融合表达；</w:t>
                  </w:r>
                </w:p>
                <w:p w14:paraId="6B328E32">
                  <w:pPr>
                    <w:numPr>
                      <w:ilvl w:val="0"/>
                      <w:numId w:val="0"/>
                    </w:numPr>
                    <w:spacing w:line="360" w:lineRule="exact"/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2.行文语言要求：精简专业技术术语、体制内公文话术、冗长理论阐释；严禁直接摘抄企业内部工作汇报、行政总结原文作为申报案例内容；文字通俗平实，适配国际受众阅读习惯。</w:t>
                  </w:r>
                </w:p>
              </w:tc>
            </w:tr>
            <w:tr w14:paraId="3AF91B46">
              <w:tblPrEx>
                <w:tblBorders>
                  <w:top w:val="single" w:color="auto" w:sz="4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93" w:type="dxa"/>
                  <w:shd w:val="clear" w:color="auto" w:fill="FFFFFF"/>
                  <w:vAlign w:val="center"/>
                </w:tcPr>
                <w:p w14:paraId="4C25B572">
                  <w:pPr>
                    <w:spacing w:line="360" w:lineRule="exact"/>
                    <w:rPr>
                      <w:rFonts w:hint="default" w:ascii="Times New Roman" w:hAnsi="Times New Roman" w:eastAsia="宋体"/>
                      <w:sz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突出成效</w:t>
                  </w:r>
                </w:p>
              </w:tc>
              <w:tc>
                <w:tcPr>
                  <w:tcW w:w="8065" w:type="dxa"/>
                </w:tcPr>
                <w:p w14:paraId="22C44323">
                  <w:pPr>
                    <w:numPr>
                      <w:ilvl w:val="0"/>
                      <w:numId w:val="0"/>
                    </w:numPr>
                    <w:spacing w:line="360" w:lineRule="exact"/>
                    <w:ind w:leftChars="0"/>
                    <w:rPr>
                      <w:rFonts w:hint="eastAsia"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量化成果：列明可追溯的数据、落地成果量化指标、经济社会效益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ascii="宋体" w:hAnsi="宋体" w:eastAsia="宋体" w:cs="宋体"/>
                      <w:sz w:val="24"/>
                      <w:szCs w:val="24"/>
                      <w:highlight w:val="none"/>
                    </w:rPr>
                    <w:t>海外合规体系建设相关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客观数据；</w:t>
                  </w:r>
                </w:p>
                <w:p w14:paraId="49EEF98B">
                  <w:pPr>
                    <w:numPr>
                      <w:ilvl w:val="0"/>
                      <w:numId w:val="0"/>
                    </w:numPr>
                    <w:spacing w:line="360" w:lineRule="exact"/>
                    <w:ind w:leftChars="0"/>
                    <w:rPr>
                      <w:rFonts w:hint="eastAsia"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2.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定性价值：阐述在化解海外经营风险、凝聚属地共识、构建国际信任、提升品牌全球美誉度等方面的综合价值；</w:t>
                  </w:r>
                </w:p>
                <w:p w14:paraId="0B08A4EF">
                  <w:pPr>
                    <w:numPr>
                      <w:ilvl w:val="0"/>
                      <w:numId w:val="0"/>
                    </w:numPr>
                    <w:spacing w:line="360" w:lineRule="exact"/>
                    <w:ind w:leftChars="0"/>
                    <w:rPr>
                      <w:rFonts w:hint="eastAsia" w:ascii="Times New Roman" w:hAnsi="Times New Roman"/>
                      <w:sz w:val="24"/>
                      <w:highlight w:val="none"/>
                    </w:rPr>
                  </w:pPr>
                  <w:r>
                    <w:rPr>
                      <w:rFonts w:hint="eastAsia" w:ascii="Times New Roman" w:hAnsi="Times New Roman"/>
                      <w:sz w:val="24"/>
                      <w:highlight w:val="none"/>
                      <w:lang w:val="en-US" w:eastAsia="zh-CN"/>
                    </w:rPr>
                    <w:t>3.</w:t>
                  </w:r>
                  <w:r>
                    <w:rPr>
                      <w:rFonts w:hint="eastAsia" w:ascii="Times New Roman" w:hAnsi="Times New Roman"/>
                      <w:sz w:val="24"/>
                      <w:highlight w:val="none"/>
                    </w:rPr>
                    <w:t>佐证材料：获评官方荣誉奖项、海内外主流媒体刊发报道情况、东道国政府、社区、合作方等利益相关方正面评价与反馈。</w:t>
                  </w:r>
                </w:p>
              </w:tc>
            </w:tr>
          </w:tbl>
          <w:p w14:paraId="0B5864F7">
            <w:pPr>
              <w:spacing w:line="36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案例内容基本要求：</w:t>
            </w:r>
          </w:p>
          <w:p w14:paraId="0269661C">
            <w:pPr>
              <w:pStyle w:val="7"/>
              <w:spacing w:line="360" w:lineRule="exact"/>
              <w:ind w:firstLine="0" w:firstLineChars="0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■ 案例材料需包括案例摘要、案例详述和附件（清晰图片、视频等辅助材料）三部分。案例摘要、案例详述和附件均参与评分，附件中需包含图片。</w:t>
            </w:r>
          </w:p>
          <w:p w14:paraId="64556DF0">
            <w:pPr>
              <w:pStyle w:val="7"/>
              <w:spacing w:line="360" w:lineRule="exact"/>
              <w:ind w:firstLine="0" w:firstLineChars="0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■ 案例详述部分不超过5000字，不少于3000字，内容要求真实准确，不得虚构。</w:t>
            </w:r>
          </w:p>
          <w:p w14:paraId="03E4E098">
            <w:pPr>
              <w:pStyle w:val="7"/>
              <w:spacing w:line="360" w:lineRule="exact"/>
              <w:ind w:firstLine="0" w:firstLineChars="0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■ 案例详述应表现企业在国际形象建设中遇到的难题、相关做法及具体成效，展现案例的典型性和可复制性。与案例直接相关的图片和图表可插入其中。</w:t>
            </w:r>
          </w:p>
          <w:p w14:paraId="019AEEDD">
            <w:pPr>
              <w:spacing w:line="360" w:lineRule="exact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sz w:val="24"/>
                <w:highlight w:val="none"/>
              </w:rPr>
              <w:t>案例申报方式：</w:t>
            </w:r>
          </w:p>
          <w:p w14:paraId="248AD883">
            <w:pPr>
              <w:pStyle w:val="7"/>
              <w:spacing w:line="360" w:lineRule="exact"/>
              <w:ind w:left="0" w:leftChars="0" w:firstLine="0" w:firstLineChars="0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申报表请用A</w:t>
            </w:r>
            <w:r>
              <w:rPr>
                <w:rFonts w:ascii="Times New Roman" w:hAnsi="Times New Roman"/>
                <w:sz w:val="24"/>
                <w:highlight w:val="none"/>
              </w:rPr>
              <w:t>4纸打印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并</w:t>
            </w:r>
            <w:r>
              <w:rPr>
                <w:rFonts w:ascii="Times New Roman" w:hAnsi="Times New Roman"/>
                <w:sz w:val="24"/>
                <w:highlight w:val="none"/>
              </w:rPr>
              <w:t>加盖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公</w:t>
            </w:r>
            <w:r>
              <w:rPr>
                <w:rFonts w:ascii="Times New Roman" w:hAnsi="Times New Roman"/>
                <w:sz w:val="24"/>
                <w:highlight w:val="none"/>
              </w:rPr>
              <w:t>章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、扫描成pdf版；申报书请用word版及pdf版；统一发送至活动主办方邮箱。</w:t>
            </w:r>
          </w:p>
          <w:p w14:paraId="2ECD346A">
            <w:pPr>
              <w:pStyle w:val="7"/>
              <w:spacing w:line="360" w:lineRule="exact"/>
              <w:ind w:left="0" w:leftChars="0" w:firstLine="0" w:firstLineChars="0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组委会邮箱：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"mailto:qiyeanlizj@163.com"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hint="eastAsia" w:ascii="Times New Roman" w:hAnsi="Times New Roman"/>
                <w:sz w:val="24"/>
                <w:highlight w:val="none"/>
                <w:u w:val="single"/>
              </w:rPr>
              <w:t>qiyeanlizj@163.com</w:t>
            </w:r>
            <w:r>
              <w:rPr>
                <w:rFonts w:hint="eastAsia" w:ascii="Times New Roman" w:hAnsi="Times New Roman"/>
                <w:sz w:val="24"/>
                <w:highlight w:val="none"/>
                <w:u w:val="single"/>
              </w:rPr>
              <w:fldChar w:fldCharType="end"/>
            </w:r>
            <w:r>
              <w:rPr>
                <w:rFonts w:hint="eastAsia" w:ascii="Times New Roman" w:hAnsi="Times New Roman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 xml:space="preserve"> 联系电话：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010-68416592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、010-6319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1222、010-58050885</w:t>
            </w:r>
          </w:p>
          <w:p w14:paraId="0C02D2FB">
            <w:pPr>
              <w:pStyle w:val="7"/>
              <w:spacing w:line="360" w:lineRule="exact"/>
              <w:ind w:left="0" w:leftChars="0" w:firstLine="0" w:firstLineChars="0"/>
              <w:rPr>
                <w:rFonts w:ascii="Times New Roman" w:hAnsi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*申报单位对以上申报内容全部知悉，并同意将申报作品的出版权、修改权、发行权、信息网络传播权等著作权授权给中国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对外书刊出版发行中心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、国务院国资委新闻中心</w:t>
            </w: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等单位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，被授权单位可将申报单位的申报作品用于公开出版、发表等。</w:t>
            </w:r>
          </w:p>
        </w:tc>
      </w:tr>
    </w:tbl>
    <w:p w14:paraId="5F7C24D9">
      <w:pPr>
        <w:rPr>
          <w:highlight w:val="none"/>
        </w:rPr>
      </w:pPr>
    </w:p>
    <w:p w14:paraId="0A265073">
      <w:pPr>
        <w:rPr>
          <w:highlight w:val="none"/>
        </w:rPr>
      </w:pPr>
    </w:p>
    <w:p w14:paraId="0C0059BE">
      <w:pPr>
        <w:rPr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1E0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A3C8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8A3C8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multilevel"/>
    <w:tmpl w:val="00000009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YjI5NjRlNjNmNTUwZTY5ZjllMTA0YTliOTE3ZDcifQ=="/>
  </w:docVars>
  <w:rsids>
    <w:rsidRoot w:val="00000000"/>
    <w:rsid w:val="009D392F"/>
    <w:rsid w:val="01A31E05"/>
    <w:rsid w:val="035952FD"/>
    <w:rsid w:val="0B7403DE"/>
    <w:rsid w:val="118443CC"/>
    <w:rsid w:val="158915B8"/>
    <w:rsid w:val="1D7517F9"/>
    <w:rsid w:val="30D17150"/>
    <w:rsid w:val="3EFC6285"/>
    <w:rsid w:val="4286188E"/>
    <w:rsid w:val="4ADE75E4"/>
    <w:rsid w:val="4BBB5051"/>
    <w:rsid w:val="4C7D8942"/>
    <w:rsid w:val="4D14152C"/>
    <w:rsid w:val="550742FF"/>
    <w:rsid w:val="58011A53"/>
    <w:rsid w:val="5DF755FF"/>
    <w:rsid w:val="5E764600"/>
    <w:rsid w:val="668138C4"/>
    <w:rsid w:val="66C57537"/>
    <w:rsid w:val="694757DE"/>
    <w:rsid w:val="6AF60F7F"/>
    <w:rsid w:val="6BB8261E"/>
    <w:rsid w:val="72B856FE"/>
    <w:rsid w:val="75A2683E"/>
    <w:rsid w:val="780D705A"/>
    <w:rsid w:val="7CB3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4686</Words>
  <Characters>4954</Characters>
  <Lines>0</Lines>
  <Paragraphs>0</Paragraphs>
  <TotalTime>6</TotalTime>
  <ScaleCrop>false</ScaleCrop>
  <LinksUpToDate>false</LinksUpToDate>
  <CharactersWithSpaces>5002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2026-07-29T22:05:00Z</dcterms:created>
  <dc:creator>Administrator</dc:creator>
  <cp:lastModifiedBy>老汤</cp:lastModifiedBy>
  <dcterms:modified xsi:type="dcterms:W3CDTF">2026-09-08T06:15:11Z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eyJoZGlkIjoiMDVmNWJmMDk1NzAzNmYzNmIyNjg5NDEwNDc3ZDUzNWMiLCJ1c2VySWQiOiI0MjA3NDIyNTQifQ==</vt:lpwstr>
  </property>
  <property fmtid="{D5CDD505-2E9C-101B-9397-08002B2CF9AE}" pid="4" name="ICV">
    <vt:lpwstr>3853D8AD65334DE2895C2EDC4AC18327_13</vt:lpwstr>
  </property>
</Properties>
</file>