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D58AC">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第八届</w:t>
      </w:r>
      <w:r>
        <w:rPr>
          <w:rFonts w:hint="eastAsia" w:ascii="方正小标宋简体" w:hAnsi="方正小标宋简体" w:eastAsia="方正小标宋简体" w:cs="方正小标宋简体"/>
          <w:b w:val="0"/>
          <w:bCs/>
          <w:sz w:val="40"/>
          <w:szCs w:val="40"/>
          <w:lang w:eastAsia="zh-CN"/>
        </w:rPr>
        <w:t>“</w:t>
      </w:r>
      <w:r>
        <w:rPr>
          <w:rFonts w:hint="eastAsia" w:ascii="方正小标宋简体" w:hAnsi="方正小标宋简体" w:eastAsia="方正小标宋简体" w:cs="方正小标宋简体"/>
          <w:b w:val="0"/>
          <w:bCs/>
          <w:sz w:val="40"/>
          <w:szCs w:val="40"/>
        </w:rPr>
        <w:t>时珍杯</w:t>
      </w:r>
      <w:r>
        <w:rPr>
          <w:rFonts w:hint="eastAsia" w:ascii="方正小标宋简体" w:hAnsi="方正小标宋简体" w:eastAsia="方正小标宋简体" w:cs="方正小标宋简体"/>
          <w:b w:val="0"/>
          <w:bCs/>
          <w:sz w:val="40"/>
          <w:szCs w:val="40"/>
          <w:lang w:eastAsia="zh-CN"/>
        </w:rPr>
        <w:t>”</w:t>
      </w:r>
      <w:r>
        <w:rPr>
          <w:rFonts w:hint="eastAsia" w:ascii="方正小标宋简体" w:hAnsi="方正小标宋简体" w:eastAsia="方正小标宋简体" w:cs="方正小标宋简体"/>
          <w:b w:val="0"/>
          <w:bCs/>
          <w:sz w:val="40"/>
          <w:szCs w:val="40"/>
        </w:rPr>
        <w:t>全国中医药翻译大赛原文</w:t>
      </w:r>
      <w:bookmarkStart w:id="0" w:name="_GoBack"/>
      <w:bookmarkEnd w:id="0"/>
    </w:p>
    <w:p w14:paraId="259F3B67">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sz w:val="40"/>
          <w:szCs w:val="40"/>
        </w:rPr>
      </w:pPr>
    </w:p>
    <w:p w14:paraId="32E1C4A8">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【汉译外原文】</w:t>
      </w:r>
    </w:p>
    <w:p w14:paraId="168199FD">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color w:val="FF0000"/>
          <w:sz w:val="32"/>
          <w:szCs w:val="32"/>
        </w:rPr>
        <w:t>（注：汉译英、日、法、德、阿语均使用本赛题材料）</w:t>
      </w:r>
    </w:p>
    <w:p w14:paraId="3A3FB54F">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中国本草学形成考略</w:t>
      </w:r>
    </w:p>
    <w:p w14:paraId="7A5BF207">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 中国古代的药物学著作，多称</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本草</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，因而可以说</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本草</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之学，亦即中国古代的药物学。其内容为记述各种药物之名称、性状、功能、主治、产地，以及采取、保存、加工等各方面的知识。换言之，在中国传统医学中，凡与药物有关的学问，大多可以归属于本草学的范畴。  </w:t>
      </w:r>
    </w:p>
    <w:p w14:paraId="1CDFDC38">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 本草之学的出现与药物起源及应用是不同的概念。</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本草</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一词的出现，客观上标志着中国传统医学之药物学的成立，这自然是在药物已广泛应用、对其已具有一定理性认识的基础之上才出现的。</w:t>
      </w:r>
    </w:p>
    <w:p w14:paraId="0C9A9856">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 毫无疑问，在早期医药知识的积累过程中，医家必定有许多关于药物知识的论述。例如，西汉名医淳于意得于其师公乘阳庆处之《药论》；又据说扁鹊的弟子子仪曾撰有</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本草一卷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等等。至三国时吴普的本草著作中所引前人之论，则有神农、黄帝、扁鹊、医和、岐伯、桐君、雷公、李氏等八家。然而西汉末期刘向与刘歆父子整理古籍、编著目录《七略》时，却未载任何药物学著作，这是否能够说明本草之书要到东汉才有可能成立？对此需略加讨论。</w:t>
      </w:r>
    </w:p>
    <w:p w14:paraId="28C79337">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 据《汉书</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艺文志》所保存的《七略》看，其方技类著作分为4种，在第1种</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医经</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类书目后的解说中提到：</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医经者，原人血脉经络骨髓阴阳表里，以起百病之本，死生之分，而用度针石汤火所施，调百药齐和之所宜。</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其中所言</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调百药齐和之所宜</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的内容在今本《黄帝内经》中是看不到的，这可以说明原始的</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医经</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中包含有药物知识的有关记载。同样，在第二类</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经方</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类书目后的解说中也提到：</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经方者，本草石之寒温，量疾病之浅深，假药味之滋，因气感之宜，辨五苦六辛，致水火之齐，以通闭解结，反之于平。</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其中</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辨五苦六辛</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显然是有关药物性味的解说，应该属于后世</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本草学</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的范畴。这又说明早期的医方著作亦不同于后世，并非只是记载治疗各种疾病的药方，而是包含了药物学知识，亦即本草学的内容。</w:t>
      </w:r>
    </w:p>
    <w:p w14:paraId="6C67C7F6">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 xml:space="preserve">[5] </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本草</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一词，首见于《汉书</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郊祀志》，汉成帝建始二年（前31），</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候神方士使者副佐、本草待诏七十余人皆归家</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。其后，汉平帝元始五年（公元5年）</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征天下通知逸经、古记、天文、历算、钟律、小学、史篇、方术、本草，及以五经、论语、孝经、尔雅教授者……至者数千人</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。《汉书</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游侠传》中又有名楼护者，</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少随父为医长安，出入贵戚家。护诵医经、本草、方书数十万言。</w:t>
      </w:r>
      <w:r>
        <w:rPr>
          <w:rFonts w:hint="eastAsia" w:ascii="Times New Roman" w:hAnsi="Times New Roman" w:eastAsia="仿宋" w:cs="Times New Roman"/>
          <w:sz w:val="32"/>
          <w:szCs w:val="32"/>
          <w:lang w:eastAsia="zh-CN"/>
        </w:rPr>
        <w:t>”</w:t>
      </w:r>
    </w:p>
    <w:p w14:paraId="537310C6">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 在西汉末期这个历史阶段中，颇值得注意的是王莽参政后的活动。他正式登上皇位虽然是在公元9年，但在此之前却早已活跃于政治舞台。正如《汉书</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平帝纪》所云：</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孝平之世，政自莽出。</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《汉书</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艺文志》本于刘歆《七略》，其成书在汉哀帝之时，因而不能反映其后20余年间的文化活动、书籍著作情况。王莽于汉平帝元始四年（公元4年）时，曾</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网罗天下异能之士，至者前后千数，皆令记说廷中，将令正乖缪、壹异说</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，紧接其后就出现了元始五年征天下通知</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本草</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等类人才的记载，不难想见在这些人的撰述中，必定出现了</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本草</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著作。</w:t>
      </w:r>
    </w:p>
    <w:p w14:paraId="64AD8984">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 而能够</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诵医经、本草、方书数十万言</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的楼护亦恰与王莽为同期人物。因而结论是：</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本草</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一词的固有定义，以及以</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本草</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为名的药物学著作，基本形成于公元纪年的第一个10年中，即西汉末期平帝登基后，到王莽称帝前的短短几年中。从这时起，中国传统医学中的药物学具有了自身独立的地位，无论是在医家眼中，还是在社会文化层的普遍认识中，</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本草</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乃是医学中的一个独立分支。</w:t>
      </w:r>
    </w:p>
    <w:p w14:paraId="7CC103CF">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 w:cs="Times New Roman"/>
          <w:b/>
          <w:sz w:val="32"/>
          <w:szCs w:val="32"/>
        </w:rPr>
      </w:pPr>
    </w:p>
    <w:p w14:paraId="5F5607B8">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【英译汉原文】</w:t>
      </w:r>
    </w:p>
    <w:p w14:paraId="0E8E789B">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The Basics and Clinical Applications of Chinese Herbal Medicine</w:t>
      </w:r>
    </w:p>
    <w:p w14:paraId="4879B061">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 Chinese herbal medicine is a complicated and vast field of study. While Western medicine seeks to isolate a single active ingredient, herbal medicine relies on the synergistic action of the constituents of a herb or decoction. These combinations may yield a wide variety of effects, such as anti-inflammatory, antioxidative, antipyretic, antidepressant, antimicrobial activity, relaxation of blood vessel walls, skeletal muscle relaxation, and anticonvulsant activity, among many others.</w:t>
      </w:r>
    </w:p>
    <w:p w14:paraId="7CFEDAF5">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[2] Although the written history of Chinese materia medica dates back from the Eastern Han dynasty (AD 25–220), with the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i/>
          <w:iCs/>
          <w:sz w:val="32"/>
          <w:szCs w:val="32"/>
        </w:rPr>
        <w:t>Shen Nong Ben Cao Jing</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w:t>
      </w:r>
      <w:r>
        <w:rPr>
          <w:rFonts w:hint="default" w:ascii="Times New Roman" w:hAnsi="Times New Roman" w:eastAsia="仿宋" w:cs="Times New Roman"/>
          <w:i/>
          <w:iCs/>
          <w:sz w:val="32"/>
          <w:szCs w:val="32"/>
        </w:rPr>
        <w:t>Divine Husbandman’s Classic of Materia Medica</w:t>
      </w:r>
      <w:r>
        <w:rPr>
          <w:rFonts w:hint="default" w:ascii="Times New Roman" w:hAnsi="Times New Roman" w:eastAsia="仿宋" w:cs="Times New Roman"/>
          <w:sz w:val="32"/>
          <w:szCs w:val="32"/>
        </w:rPr>
        <w:t xml:space="preserve">), also known as </w:t>
      </w:r>
      <w:r>
        <w:rPr>
          <w:rFonts w:hint="default" w:ascii="Times New Roman" w:hAnsi="Times New Roman" w:eastAsia="仿宋" w:cs="Times New Roman"/>
          <w:i/>
          <w:iCs/>
          <w:sz w:val="32"/>
          <w:szCs w:val="32"/>
        </w:rPr>
        <w:t>The Canon of Materia Medica</w:t>
      </w:r>
      <w:r>
        <w:rPr>
          <w:rFonts w:hint="default" w:ascii="Times New Roman" w:hAnsi="Times New Roman" w:eastAsia="仿宋" w:cs="Times New Roman"/>
          <w:sz w:val="32"/>
          <w:szCs w:val="32"/>
        </w:rPr>
        <w:t xml:space="preserve">, or </w:t>
      </w:r>
      <w:r>
        <w:rPr>
          <w:rFonts w:hint="default" w:ascii="Times New Roman" w:hAnsi="Times New Roman" w:eastAsia="仿宋" w:cs="Times New Roman"/>
          <w:i/>
          <w:iCs/>
          <w:sz w:val="32"/>
          <w:szCs w:val="32"/>
        </w:rPr>
        <w:t>Shennong’s Herbal Classic</w:t>
      </w:r>
      <w:r>
        <w:rPr>
          <w:rFonts w:hint="default" w:ascii="Times New Roman" w:hAnsi="Times New Roman" w:eastAsia="仿宋" w:cs="Times New Roman"/>
          <w:sz w:val="32"/>
          <w:szCs w:val="32"/>
        </w:rPr>
        <w:t xml:space="preserve">, Chinese knowledge of botanic medicine dates back to the discovery of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Ma Huang</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(herba ephedrae), around 3000 BC. This herb was initially used as a stimulant but was also used for respiratory disorders and other diseases. The active ingredient in herba ephedrae is ephedrine discovered later, an effective bronchodilator, making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Ma Huang</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central in asthma treatment. </w:t>
      </w:r>
    </w:p>
    <w:p w14:paraId="376F9EF3">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[3] Chinese herbal medicine and dietetics, also known as Chinese materia medica, follow the same diagnostic principles as acupuncture,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Tuina</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and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Qigong</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This branch of traditional Chinese medicine (TCM) is focused on the beneficial effects of herbs and foods on the body. Those are classified according to the thermal nature, flavor or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sapor</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organ network, and functional effect direction. The thermal nature has a cooling or warming effect on the body by acting on microcirculation. </w:t>
      </w:r>
    </w:p>
    <w:p w14:paraId="6300EF96">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[4] The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sapor</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relates to the Five Phases and regulates a particular organ network. Regarding the thermal nature,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hot</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herbs and foods such as pepper, chili, and garlic have heating, warming effects on the body, increasing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yang</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speeding up the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qi</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activating, dispersing, and moving upward and outward, warming the bowels and viscera, eliminating external and internal cold, and mobilizing defense energy. Oppositely,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cold</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foods, such as tomatoes and bananas, cool the body, cool internal heat, and have a calming effect on the spirit. Warm and cool herbs and foods have a milder effect on the body, strengthening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yang</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and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qi</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and supplementing body fluids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jin ye</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and blood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xue</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respectively. </w:t>
      </w:r>
    </w:p>
    <w:p w14:paraId="7D4E51E5">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[5] According to the Heidelberg model of TCM, flavors can be classified according to their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yin</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or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yang</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quality, and each one belongs to one of the Five Phases. Sweet belongs to the Phase Earth. It has a warming, strengthening, harmonizing, relaxing, and moistening effect. Sweet has the most potent supplementing effect on the body. Acrid or pungent belongs to the Phase Metal. It moves the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qi</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invigorates energy circulation, loosens stagnation, disperses, opens pores, frees the surface of exogenous disease factors, and produces perspiration. Salty belongs to the Phase Water. It cools, moistens, produces a downward bearing, softens, and loosens. Sour belongs to the Phase Wood. It has an astringent effect, and gathers and preserves fluids. Bitter belongs to the Phase Fire. It has a drying, hardening, and downward-bearing effect. </w:t>
      </w:r>
    </w:p>
    <w:p w14:paraId="0F4F237A">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[6] Along with their general effects, each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sapor</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directly affects a specific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orb</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within each Phase and has an indirect effect within the Phases network. As mentioned in the </w:t>
      </w:r>
      <w:r>
        <w:rPr>
          <w:rFonts w:hint="default" w:ascii="Times New Roman" w:hAnsi="Times New Roman" w:eastAsia="仿宋" w:cs="Times New Roman"/>
          <w:i/>
          <w:iCs/>
          <w:sz w:val="32"/>
          <w:szCs w:val="32"/>
        </w:rPr>
        <w:t xml:space="preserve">Huang Di Nei Jing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i/>
          <w:iCs/>
          <w:sz w:val="32"/>
          <w:szCs w:val="32"/>
        </w:rPr>
        <w:t>Yellow Emperor’s Canon of Medicine</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Sourness enters the liver, bitterness enters the heart, sweetness enters the spleen, acridity enters the lungs, and saltiness enters the kidneys.</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Thus,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Sourness enters the sinews, bitterness enters the blood, acridity enters the qi, sweetness enters the flesh, and saltiness enters the bones.</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Herbs and foods can also be classified according to the effective therapeutic direction. Therefore, they can act on the surface or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extima</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or affect the depth, the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intima</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or the</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yin</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itself. </w:t>
      </w:r>
    </w:p>
    <w:p w14:paraId="054C6643">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 The plants listed above, as an example, are frequently used in the form of infusions, mixed with others in predefined proportions, giving rise to specific formulas or decoctions directed to the treatment of certain diseases and conditions. The roots are the most commonly used part; however, in some formulas, the leaves and stems are also used. The preparation of decoctions is an art, and its application’s success is intimately related to an accurate diagnosis.</w:t>
      </w:r>
    </w:p>
    <w:p w14:paraId="180E4F5B">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 Herbal treatment is among the most commonly used of the complementary and alternative medicine (CAM) therapies, and many of the used herbs originate from TCM. The popularity of and interest in CAM have increased in Western societies. Socioeconomic, demographic, and health indicators seem to be related to the prevalence of CAM in each country.</w:t>
      </w:r>
    </w:p>
    <w:p w14:paraId="67F5695D">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[9] In 2002, 2007, and 2012, the percentages of American adults who used any CAM approach in the past 12 months were 32.3%, 35.5%, and 33.2%, respectively. The variability of CAM’s prevalence in different countries is significant. In France and Germany, two European countries with a higher prevalence, those values reached 49% and 46%, respectively, while in Australia it was about 52%, and in Singapore nearly 76%. Although the statistics correspond to different years, the relative global analysis remains accurate, showing a significant variability. </w:t>
      </w:r>
    </w:p>
    <w:p w14:paraId="458DBF1E">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[10] Several herbs used in Chinese herbal medicine have been used in Western medicine. For example, the ginseng decoction used to invigorate </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qi</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 xml:space="preserve"> and prevent prostration can be prescribed in hemorrhagic or cardiogenic shock. According to the World Health Organization (WHO), trachea, bronchus and lung cancers are among the top 10 causes of death globally, plus stomach, colon and rectum cancers in upper-middle and high-income countries. Cancer remains a scourge, and despite some advances, often the treatments continue to be, in some cases, painful, damaging, expensive and ineffective. Surgery, radiotherapy and chemotherapy are still the primary treatment methods, often causing unpleasant side effects the severity of which varies from person to person. Here, Chinese herbal medicine can be a promising ally in an integrative strategy based on evidence.</w:t>
      </w:r>
    </w:p>
    <w:p w14:paraId="713AE9F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5718B">
    <w:pPr>
      <w:pStyle w:val="2"/>
      <w:jc w:val="center"/>
    </w:pPr>
    <w:r>
      <w:fldChar w:fldCharType="begin"/>
    </w:r>
    <w:r>
      <w:instrText xml:space="preserve">PAGE   \* MERGEFORMAT</w:instrText>
    </w:r>
    <w:r>
      <w:fldChar w:fldCharType="separate"/>
    </w:r>
    <w:r>
      <w:rPr>
        <w:lang w:val="zh-CN"/>
      </w:rPr>
      <w:t>1</w:t>
    </w:r>
    <w:r>
      <w:fldChar w:fldCharType="end"/>
    </w:r>
  </w:p>
  <w:p w14:paraId="5353E6A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75D8A"/>
    <w:rsid w:val="42F75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2026-05-25T06:53:00Z</dcterms:created>
  <dc:creator>FYN</dc:creator>
  <cp:lastModifiedBy>FYN</cp:lastModifiedBy>
  <dcterms:modified xsi:type="dcterms:W3CDTF">2026-05-25T06:54:17Z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6C2A6BDF34A24C3AACA16FFFE026E36B_11</vt:lpwstr>
  </property>
  <property fmtid="{D5CDD505-2E9C-101B-9397-08002B2CF9AE}" pid="4" name="KSOTemplateDocerSaveRecord">
    <vt:lpwstr>eyJoZGlkIjoiMDFiZmY0YjczMTA3YjY4YWUyNTZlYzRhMTg2MjI5MzYiLCJ1c2VySWQiOiI0NDA4Nzc1NDYifQ==</vt:lpwstr>
  </property>
</Properties>
</file>